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00" w:lineRule="exact"/>
        <w:rPr>
          <w:rFonts w:hint="eastAsia" w:ascii="黑体" w:hAnsi="Times New Roman" w:eastAsia="黑体"/>
          <w:sz w:val="32"/>
          <w:szCs w:val="32"/>
        </w:rPr>
      </w:pPr>
      <w:r>
        <w:rPr>
          <w:rFonts w:hint="eastAsia" w:ascii="黑体" w:hAnsi="Times New Roman" w:eastAsia="黑体"/>
          <w:sz w:val="32"/>
          <w:szCs w:val="32"/>
        </w:rPr>
        <w:t>附件</w:t>
      </w:r>
    </w:p>
    <w:p>
      <w:pPr>
        <w:autoSpaceDE w:val="0"/>
        <w:spacing w:line="300" w:lineRule="exact"/>
        <w:rPr>
          <w:rFonts w:hint="eastAsia" w:ascii="黑体" w:hAnsi="Times New Roman" w:eastAsia="黑体"/>
          <w:sz w:val="32"/>
          <w:szCs w:val="32"/>
        </w:rPr>
      </w:pPr>
    </w:p>
    <w:tbl>
      <w:tblPr>
        <w:tblStyle w:val="2"/>
        <w:tblW w:w="8949" w:type="dxa"/>
        <w:tblInd w:w="93" w:type="dxa"/>
        <w:tblLayout w:type="autofit"/>
        <w:tblCellMar>
          <w:top w:w="0" w:type="dxa"/>
          <w:left w:w="108" w:type="dxa"/>
          <w:bottom w:w="0" w:type="dxa"/>
          <w:right w:w="108" w:type="dxa"/>
        </w:tblCellMar>
      </w:tblPr>
      <w:tblGrid>
        <w:gridCol w:w="496"/>
        <w:gridCol w:w="1440"/>
        <w:gridCol w:w="1620"/>
        <w:gridCol w:w="5393"/>
      </w:tblGrid>
      <w:tr>
        <w:tblPrEx>
          <w:tblCellMar>
            <w:top w:w="0" w:type="dxa"/>
            <w:left w:w="108" w:type="dxa"/>
            <w:bottom w:w="0" w:type="dxa"/>
            <w:right w:w="108" w:type="dxa"/>
          </w:tblCellMar>
        </w:tblPrEx>
        <w:trPr>
          <w:trHeight w:val="840" w:hRule="atLeast"/>
        </w:trPr>
        <w:tc>
          <w:tcPr>
            <w:tcW w:w="8949" w:type="dxa"/>
            <w:gridSpan w:val="4"/>
            <w:tcBorders>
              <w:top w:val="nil"/>
              <w:left w:val="nil"/>
              <w:bottom w:val="single" w:color="auto" w:sz="8" w:space="0"/>
              <w:right w:val="nil"/>
            </w:tcBorders>
            <w:noWrap/>
            <w:vAlign w:val="center"/>
          </w:tcPr>
          <w:p>
            <w:pPr>
              <w:widowControl/>
              <w:spacing w:line="500" w:lineRule="exact"/>
              <w:jc w:val="center"/>
              <w:rPr>
                <w:rFonts w:hint="eastAsia" w:ascii="方正小标宋简体" w:hAnsi="宋体" w:eastAsia="方正小标宋简体" w:cs="宋体"/>
                <w:bCs/>
                <w:color w:val="000000"/>
                <w:kern w:val="0"/>
                <w:sz w:val="44"/>
                <w:szCs w:val="44"/>
              </w:rPr>
            </w:pPr>
            <w:bookmarkStart w:id="0" w:name="_GoBack"/>
            <w:r>
              <w:rPr>
                <w:rFonts w:hint="eastAsia" w:ascii="方正小标宋简体" w:hAnsi="宋体" w:eastAsia="方正小标宋简体" w:cs="宋体"/>
                <w:bCs/>
                <w:color w:val="000000"/>
                <w:kern w:val="0"/>
                <w:sz w:val="44"/>
                <w:szCs w:val="44"/>
              </w:rPr>
              <w:t>泉州市水利局涉企行政检查事项清单</w:t>
            </w:r>
          </w:p>
          <w:bookmarkEnd w:id="0"/>
          <w:p>
            <w:pPr>
              <w:widowControl/>
              <w:spacing w:line="580" w:lineRule="exact"/>
              <w:jc w:val="center"/>
              <w:rPr>
                <w:rFonts w:hint="eastAsia" w:ascii="方正小标宋简体" w:hAnsi="宋体" w:eastAsia="方正小标宋简体" w:cs="宋体"/>
                <w:bCs/>
                <w:color w:val="000000"/>
                <w:kern w:val="0"/>
                <w:szCs w:val="21"/>
              </w:rPr>
            </w:pPr>
          </w:p>
        </w:tc>
      </w:tr>
      <w:tr>
        <w:tblPrEx>
          <w:tblCellMar>
            <w:top w:w="0" w:type="dxa"/>
            <w:left w:w="108" w:type="dxa"/>
            <w:bottom w:w="0" w:type="dxa"/>
            <w:right w:w="108" w:type="dxa"/>
          </w:tblCellMar>
        </w:tblPrEx>
        <w:trPr>
          <w:trHeight w:val="630" w:hRule="atLeast"/>
        </w:trPr>
        <w:tc>
          <w:tcPr>
            <w:tcW w:w="49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序号</w:t>
            </w:r>
          </w:p>
        </w:tc>
        <w:tc>
          <w:tcPr>
            <w:tcW w:w="144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事项名称</w:t>
            </w:r>
          </w:p>
        </w:tc>
        <w:tc>
          <w:tcPr>
            <w:tcW w:w="162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检查主体</w:t>
            </w:r>
          </w:p>
        </w:tc>
        <w:tc>
          <w:tcPr>
            <w:tcW w:w="539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设</w:t>
            </w:r>
            <w:r>
              <w:rPr>
                <w:rFonts w:hint="eastAsia" w:ascii="Times New Roman" w:hAnsi="Times New Roman" w:eastAsia="仿宋_GB2312"/>
                <w:bCs/>
                <w:kern w:val="0"/>
                <w:szCs w:val="21"/>
              </w:rPr>
              <w:t xml:space="preserve">  </w:t>
            </w:r>
            <w:r>
              <w:rPr>
                <w:rFonts w:ascii="Times New Roman" w:hAnsi="Times New Roman" w:eastAsia="仿宋_GB2312"/>
                <w:bCs/>
                <w:kern w:val="0"/>
                <w:szCs w:val="21"/>
              </w:rPr>
              <w:t>定</w:t>
            </w:r>
            <w:r>
              <w:rPr>
                <w:rFonts w:hint="eastAsia" w:ascii="Times New Roman" w:hAnsi="Times New Roman" w:eastAsia="仿宋_GB2312"/>
                <w:bCs/>
                <w:kern w:val="0"/>
                <w:szCs w:val="21"/>
              </w:rPr>
              <w:t xml:space="preserve">  </w:t>
            </w:r>
            <w:r>
              <w:rPr>
                <w:rFonts w:ascii="Times New Roman" w:hAnsi="Times New Roman" w:eastAsia="仿宋_GB2312"/>
                <w:bCs/>
                <w:kern w:val="0"/>
                <w:szCs w:val="21"/>
              </w:rPr>
              <w:t>依</w:t>
            </w:r>
            <w:r>
              <w:rPr>
                <w:rFonts w:hint="eastAsia" w:ascii="Times New Roman" w:hAnsi="Times New Roman" w:eastAsia="仿宋_GB2312"/>
                <w:bCs/>
                <w:kern w:val="0"/>
                <w:szCs w:val="21"/>
              </w:rPr>
              <w:t xml:space="preserve">  </w:t>
            </w:r>
            <w:r>
              <w:rPr>
                <w:rFonts w:ascii="Times New Roman" w:hAnsi="Times New Roman" w:eastAsia="仿宋_GB2312"/>
                <w:bCs/>
                <w:kern w:val="0"/>
                <w:szCs w:val="21"/>
              </w:rPr>
              <w:t>据</w:t>
            </w:r>
          </w:p>
        </w:tc>
      </w:tr>
      <w:tr>
        <w:tblPrEx>
          <w:tblCellMar>
            <w:top w:w="0" w:type="dxa"/>
            <w:left w:w="108" w:type="dxa"/>
            <w:bottom w:w="0" w:type="dxa"/>
            <w:right w:w="108" w:type="dxa"/>
          </w:tblCellMar>
        </w:tblPrEx>
        <w:trPr>
          <w:trHeight w:val="4970" w:hRule="atLeast"/>
        </w:trPr>
        <w:tc>
          <w:tcPr>
            <w:tcW w:w="496" w:type="dxa"/>
            <w:tcBorders>
              <w:top w:val="single" w:color="auto" w:sz="8" w:space="0"/>
              <w:left w:val="single" w:color="auto" w:sz="8" w:space="0"/>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1440" w:type="dxa"/>
            <w:tcBorders>
              <w:top w:val="single" w:color="auto" w:sz="8" w:space="0"/>
              <w:left w:val="single" w:color="auto" w:sz="8" w:space="0"/>
              <w:bottom w:val="single" w:color="auto" w:sz="8" w:space="0"/>
              <w:right w:val="single" w:color="auto" w:sz="8" w:space="0"/>
            </w:tcBorders>
            <w:noWrap w:val="0"/>
            <w:vAlign w:val="center"/>
          </w:tcPr>
          <w:p>
            <w:pPr>
              <w:widowControl/>
              <w:spacing w:line="28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水利工程质量监督检查（含水利设计施工、监理资质检查）</w:t>
            </w:r>
          </w:p>
        </w:tc>
        <w:tc>
          <w:tcPr>
            <w:tcW w:w="1620" w:type="dxa"/>
            <w:tcBorders>
              <w:top w:val="single" w:color="auto" w:sz="8" w:space="0"/>
              <w:left w:val="single" w:color="auto" w:sz="8" w:space="0"/>
              <w:bottom w:val="single" w:color="auto" w:sz="8" w:space="0"/>
              <w:right w:val="single" w:color="auto" w:sz="8" w:space="0"/>
            </w:tcBorders>
            <w:noWrap/>
            <w:vAlign w:val="center"/>
          </w:tcPr>
          <w:p>
            <w:pPr>
              <w:widowControl/>
              <w:spacing w:line="28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泉州市水利局</w:t>
            </w:r>
          </w:p>
        </w:tc>
        <w:tc>
          <w:tcPr>
            <w:tcW w:w="5393" w:type="dxa"/>
            <w:tcBorders>
              <w:top w:val="single" w:color="auto" w:sz="8" w:space="0"/>
              <w:left w:val="single" w:color="auto" w:sz="8" w:space="0"/>
              <w:bottom w:val="single" w:color="auto" w:sz="8" w:space="0"/>
              <w:right w:val="single" w:color="auto" w:sz="8" w:space="0"/>
            </w:tcBorders>
            <w:noWrap w:val="0"/>
            <w:vAlign w:val="center"/>
          </w:tcPr>
          <w:p>
            <w:pPr>
              <w:widowControl/>
              <w:tabs>
                <w:tab w:val="left" w:pos="174"/>
              </w:tabs>
              <w:spacing w:line="220" w:lineRule="exact"/>
              <w:ind w:firstLine="420" w:firstLineChars="200"/>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《建设工程质量管理条例》</w:t>
            </w:r>
          </w:p>
          <w:p>
            <w:pPr>
              <w:widowControl/>
              <w:tabs>
                <w:tab w:val="left" w:pos="174"/>
              </w:tabs>
              <w:spacing w:line="220" w:lineRule="exact"/>
              <w:ind w:firstLine="420" w:firstLineChars="200"/>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第四十三条第三款  县级以上地方人民政府建设行政主管部门对本行政区域内的建设工程质量实施监督管理。县级以上地方人民政府交通、水利等有关部门在各自的职责范围内，负责对本行政区域内的专业建设工程质量的监督管理。</w:t>
            </w:r>
          </w:p>
          <w:p>
            <w:pPr>
              <w:widowControl/>
              <w:tabs>
                <w:tab w:val="left" w:pos="174"/>
              </w:tabs>
              <w:spacing w:line="220" w:lineRule="exact"/>
              <w:ind w:firstLine="420" w:firstLineChars="200"/>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《水利工程质量管理规定》（水利部令第52号）</w:t>
            </w:r>
          </w:p>
          <w:p>
            <w:pPr>
              <w:widowControl/>
              <w:tabs>
                <w:tab w:val="left" w:pos="174"/>
              </w:tabs>
              <w:spacing w:line="220" w:lineRule="exact"/>
              <w:ind w:firstLine="420" w:firstLineChars="200"/>
              <w:rPr>
                <w:rFonts w:hint="eastAsia" w:ascii="Times New Roman" w:hAnsi="Times New Roman" w:eastAsia="仿宋_GB2312"/>
                <w:color w:val="000000"/>
                <w:spacing w:val="-6"/>
                <w:kern w:val="0"/>
                <w:szCs w:val="21"/>
              </w:rPr>
            </w:pPr>
            <w:r>
              <w:rPr>
                <w:rFonts w:hint="eastAsia" w:ascii="Times New Roman" w:hAnsi="Times New Roman" w:eastAsia="仿宋_GB2312"/>
                <w:color w:val="000000"/>
                <w:kern w:val="0"/>
                <w:szCs w:val="21"/>
              </w:rPr>
              <w:t>第</w:t>
            </w:r>
            <w:r>
              <w:rPr>
                <w:rFonts w:hint="eastAsia" w:ascii="Times New Roman" w:hAnsi="Times New Roman" w:eastAsia="仿宋_GB2312"/>
                <w:color w:val="000000"/>
                <w:spacing w:val="-6"/>
                <w:kern w:val="0"/>
                <w:szCs w:val="21"/>
              </w:rPr>
              <w:t>四条 水利部负责全国水利工程质量的监督管理。</w:t>
            </w:r>
          </w:p>
          <w:p>
            <w:pPr>
              <w:widowControl/>
              <w:tabs>
                <w:tab w:val="left" w:pos="174"/>
              </w:tabs>
              <w:spacing w:line="220" w:lineRule="exact"/>
              <w:ind w:firstLine="420" w:firstLineChars="200"/>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水利部所属流域管理机构（以下简称流域管理机构）依照法律、行政法规规定和水利部授权，负责所管辖范围内水利工程质量的监督管理。</w:t>
            </w:r>
          </w:p>
          <w:p>
            <w:pPr>
              <w:widowControl/>
              <w:tabs>
                <w:tab w:val="left" w:pos="174"/>
              </w:tabs>
              <w:spacing w:line="220" w:lineRule="exact"/>
              <w:ind w:firstLine="420" w:firstLineChars="200"/>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县级以上地方人民政府水行政主管部门在职责范围内负责本行政区域水利工程质量的监督管理。</w:t>
            </w:r>
          </w:p>
          <w:p>
            <w:pPr>
              <w:widowControl/>
              <w:tabs>
                <w:tab w:val="left" w:pos="174"/>
              </w:tabs>
              <w:spacing w:line="220" w:lineRule="exact"/>
              <w:ind w:firstLine="420" w:firstLineChars="200"/>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第五十二条  县级以上人民政府水行政主管部门、流域</w:t>
            </w:r>
            <w:r>
              <w:rPr>
                <w:rFonts w:hint="eastAsia" w:ascii="Times New Roman" w:hAnsi="Times New Roman" w:eastAsia="仿宋_GB2312"/>
                <w:color w:val="000000"/>
                <w:spacing w:val="-6"/>
                <w:kern w:val="0"/>
                <w:szCs w:val="21"/>
              </w:rPr>
              <w:t>管理机构在管辖范围内负责对水利工程质量的监督管理：</w:t>
            </w:r>
          </w:p>
          <w:p>
            <w:pPr>
              <w:widowControl/>
              <w:tabs>
                <w:tab w:val="left" w:pos="174"/>
              </w:tabs>
              <w:spacing w:line="220" w:lineRule="exact"/>
              <w:ind w:firstLine="420" w:firstLineChars="200"/>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（一）贯彻执行水利工程质量管理的法律、法规、规章和工程建设强制性标准,并组织对贯彻落实情况实施监督检查；  </w:t>
            </w:r>
          </w:p>
          <w:p>
            <w:pPr>
              <w:widowControl/>
              <w:tabs>
                <w:tab w:val="left" w:pos="174"/>
              </w:tabs>
              <w:spacing w:line="220" w:lineRule="exact"/>
              <w:ind w:firstLine="420" w:firstLineChars="200"/>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（二）制定水利工程质量管理制度；</w:t>
            </w:r>
          </w:p>
          <w:p>
            <w:pPr>
              <w:widowControl/>
              <w:tabs>
                <w:tab w:val="left" w:pos="174"/>
              </w:tabs>
              <w:spacing w:line="220" w:lineRule="exact"/>
              <w:ind w:firstLine="420" w:firstLineChars="200"/>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（三）组织实施水利工程建设项目的质量监督；   </w:t>
            </w:r>
          </w:p>
          <w:p>
            <w:pPr>
              <w:widowControl/>
              <w:tabs>
                <w:tab w:val="left" w:pos="174"/>
              </w:tabs>
              <w:spacing w:line="220" w:lineRule="exact"/>
              <w:ind w:firstLine="420" w:firstLineChars="200"/>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（四）组织、参与水利工程质量事故的调查与处理；</w:t>
            </w:r>
          </w:p>
          <w:p>
            <w:pPr>
              <w:widowControl/>
              <w:tabs>
                <w:tab w:val="left" w:pos="174"/>
              </w:tabs>
              <w:spacing w:line="220" w:lineRule="exact"/>
              <w:ind w:firstLine="420" w:firstLineChars="200"/>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（五）建立举报渠道,受理水利工程质量投诉、举报； （六）履行法律法规规定的其他职责。</w:t>
            </w:r>
          </w:p>
          <w:p>
            <w:pPr>
              <w:widowControl/>
              <w:tabs>
                <w:tab w:val="left" w:pos="174"/>
              </w:tabs>
              <w:spacing w:line="220" w:lineRule="exact"/>
              <w:ind w:firstLine="420" w:firstLineChars="200"/>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第五十四条 县级以上人民政府水行政主管部门、流域管理机构、受委托的水利工程质量监督机构应当采取抽查等方式，对水利工程建设有关单位质量行为和工程实体质量进行监督检查。有关单位和个人应当支持与配</w:t>
            </w:r>
            <w:r>
              <w:rPr>
                <w:rFonts w:hint="eastAsia" w:ascii="Times New Roman" w:hAnsi="Times New Roman" w:eastAsia="仿宋_GB2312"/>
                <w:color w:val="000000"/>
                <w:spacing w:val="-8"/>
                <w:kern w:val="0"/>
                <w:szCs w:val="21"/>
              </w:rPr>
              <w:t>合，不得拒绝或者阻碍质量监督检查人员依法执行职务。</w:t>
            </w:r>
          </w:p>
          <w:p>
            <w:pPr>
              <w:widowControl/>
              <w:tabs>
                <w:tab w:val="left" w:pos="174"/>
              </w:tabs>
              <w:spacing w:line="220" w:lineRule="exact"/>
              <w:ind w:firstLine="420" w:firstLineChars="200"/>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水利工程质量监督工作主要包括以下内容：</w:t>
            </w:r>
          </w:p>
          <w:p>
            <w:pPr>
              <w:widowControl/>
              <w:tabs>
                <w:tab w:val="left" w:pos="174"/>
              </w:tabs>
              <w:spacing w:line="220" w:lineRule="exact"/>
              <w:ind w:firstLine="210" w:firstLineChars="100"/>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（一）核查项目法人、勘察、设计、施工、监理、质量检测等单位和人员的资质或者资格；</w:t>
            </w:r>
          </w:p>
          <w:p>
            <w:pPr>
              <w:widowControl/>
              <w:tabs>
                <w:tab w:val="left" w:pos="174"/>
              </w:tabs>
              <w:spacing w:line="220" w:lineRule="exact"/>
              <w:ind w:firstLine="210" w:firstLineChars="100"/>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（二）检查项目法人、勘察、设计、施工、监理、质量检测、监测等单位履行法律、法规、规章规定的质量责任情况；</w:t>
            </w:r>
          </w:p>
          <w:p>
            <w:pPr>
              <w:widowControl/>
              <w:tabs>
                <w:tab w:val="left" w:pos="174"/>
              </w:tabs>
              <w:spacing w:line="220" w:lineRule="exact"/>
              <w:ind w:firstLine="210" w:firstLineChars="100"/>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（三）检查工程建设强制性标准执行情况；</w:t>
            </w:r>
          </w:p>
          <w:p>
            <w:pPr>
              <w:widowControl/>
              <w:tabs>
                <w:tab w:val="left" w:pos="174"/>
              </w:tabs>
              <w:spacing w:line="220" w:lineRule="exact"/>
              <w:ind w:firstLine="210" w:firstLineChars="100"/>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（四）检查工程项目质量检验和验收情况；    </w:t>
            </w:r>
          </w:p>
          <w:p>
            <w:pPr>
              <w:widowControl/>
              <w:tabs>
                <w:tab w:val="left" w:pos="174"/>
              </w:tabs>
              <w:spacing w:line="220" w:lineRule="exact"/>
              <w:ind w:firstLine="210" w:firstLineChars="100"/>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（五）检查原材料、中间产品、设备和工程实体质量情况；</w:t>
            </w:r>
          </w:p>
          <w:p>
            <w:pPr>
              <w:widowControl/>
              <w:tabs>
                <w:tab w:val="left" w:pos="174"/>
              </w:tabs>
              <w:spacing w:line="220" w:lineRule="exact"/>
              <w:ind w:firstLine="210" w:firstLineChars="100"/>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（六）实施其他质量监督工作。</w:t>
            </w:r>
          </w:p>
          <w:p>
            <w:pPr>
              <w:widowControl/>
              <w:tabs>
                <w:tab w:val="left" w:pos="174"/>
              </w:tabs>
              <w:spacing w:line="220" w:lineRule="exact"/>
              <w:ind w:firstLine="210" w:firstLineChars="100"/>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质量监督工作不代替项目法人、勘察、设计、施工、监理及其他单位的质量管理工作。</w:t>
            </w:r>
          </w:p>
          <w:p>
            <w:pPr>
              <w:widowControl/>
              <w:tabs>
                <w:tab w:val="left" w:pos="174"/>
              </w:tabs>
              <w:spacing w:line="220" w:lineRule="exact"/>
              <w:ind w:firstLine="210" w:firstLineChars="100"/>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第五十五条 县级以上人民政府水行政主管部门、流域管理机构、受委托的水利工程质量监督机构履行监督检查职责时,依法采取下列措施:</w:t>
            </w:r>
          </w:p>
          <w:p>
            <w:pPr>
              <w:widowControl/>
              <w:tabs>
                <w:tab w:val="left" w:pos="174"/>
              </w:tabs>
              <w:spacing w:line="220" w:lineRule="exact"/>
              <w:ind w:firstLine="210" w:firstLineChars="100"/>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（一）要求被监督检查单位提供有关工程质量等方面的文件和资料;</w:t>
            </w:r>
          </w:p>
          <w:p>
            <w:pPr>
              <w:widowControl/>
              <w:tabs>
                <w:tab w:val="left" w:pos="174"/>
              </w:tabs>
              <w:spacing w:line="220" w:lineRule="exact"/>
              <w:ind w:firstLine="210" w:firstLineChars="100"/>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（二）进入被监督检查工程现场和其他相关场所进行检查、抽样检测等。</w:t>
            </w:r>
          </w:p>
          <w:p>
            <w:pPr>
              <w:widowControl/>
              <w:tabs>
                <w:tab w:val="left" w:pos="174"/>
              </w:tabs>
              <w:spacing w:line="220" w:lineRule="exact"/>
              <w:ind w:firstLine="210" w:firstLineChars="100"/>
              <w:rPr>
                <w:rFonts w:hint="eastAsia"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630" w:hRule="atLeast"/>
        </w:trPr>
        <w:tc>
          <w:tcPr>
            <w:tcW w:w="49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序号</w:t>
            </w:r>
          </w:p>
        </w:tc>
        <w:tc>
          <w:tcPr>
            <w:tcW w:w="144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事项名称</w:t>
            </w:r>
          </w:p>
        </w:tc>
        <w:tc>
          <w:tcPr>
            <w:tcW w:w="162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检查主体</w:t>
            </w:r>
          </w:p>
        </w:tc>
        <w:tc>
          <w:tcPr>
            <w:tcW w:w="539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设</w:t>
            </w:r>
            <w:r>
              <w:rPr>
                <w:rFonts w:hint="eastAsia" w:ascii="Times New Roman" w:hAnsi="Times New Roman" w:eastAsia="仿宋_GB2312"/>
                <w:bCs/>
                <w:kern w:val="0"/>
                <w:szCs w:val="21"/>
              </w:rPr>
              <w:t xml:space="preserve">  </w:t>
            </w:r>
            <w:r>
              <w:rPr>
                <w:rFonts w:ascii="Times New Roman" w:hAnsi="Times New Roman" w:eastAsia="仿宋_GB2312"/>
                <w:bCs/>
                <w:kern w:val="0"/>
                <w:szCs w:val="21"/>
              </w:rPr>
              <w:t>定</w:t>
            </w:r>
            <w:r>
              <w:rPr>
                <w:rFonts w:hint="eastAsia" w:ascii="Times New Roman" w:hAnsi="Times New Roman" w:eastAsia="仿宋_GB2312"/>
                <w:bCs/>
                <w:kern w:val="0"/>
                <w:szCs w:val="21"/>
              </w:rPr>
              <w:t xml:space="preserve">  </w:t>
            </w:r>
            <w:r>
              <w:rPr>
                <w:rFonts w:ascii="Times New Roman" w:hAnsi="Times New Roman" w:eastAsia="仿宋_GB2312"/>
                <w:bCs/>
                <w:kern w:val="0"/>
                <w:szCs w:val="21"/>
              </w:rPr>
              <w:t>依</w:t>
            </w:r>
            <w:r>
              <w:rPr>
                <w:rFonts w:hint="eastAsia" w:ascii="Times New Roman" w:hAnsi="Times New Roman" w:eastAsia="仿宋_GB2312"/>
                <w:bCs/>
                <w:kern w:val="0"/>
                <w:szCs w:val="21"/>
              </w:rPr>
              <w:t xml:space="preserve">  </w:t>
            </w:r>
            <w:r>
              <w:rPr>
                <w:rFonts w:ascii="Times New Roman" w:hAnsi="Times New Roman" w:eastAsia="仿宋_GB2312"/>
                <w:bCs/>
                <w:kern w:val="0"/>
                <w:szCs w:val="21"/>
              </w:rPr>
              <w:t>据</w:t>
            </w:r>
          </w:p>
        </w:tc>
      </w:tr>
      <w:tr>
        <w:tblPrEx>
          <w:tblCellMar>
            <w:top w:w="0" w:type="dxa"/>
            <w:left w:w="108" w:type="dxa"/>
            <w:bottom w:w="0" w:type="dxa"/>
            <w:right w:w="108" w:type="dxa"/>
          </w:tblCellMar>
        </w:tblPrEx>
        <w:trPr>
          <w:trHeight w:val="5566" w:hRule="atLeast"/>
        </w:trPr>
        <w:tc>
          <w:tcPr>
            <w:tcW w:w="496"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2</w:t>
            </w:r>
          </w:p>
        </w:tc>
        <w:tc>
          <w:tcPr>
            <w:tcW w:w="144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水土保持监督检查</w:t>
            </w:r>
          </w:p>
        </w:tc>
        <w:tc>
          <w:tcPr>
            <w:tcW w:w="162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泉州市水利局</w:t>
            </w:r>
          </w:p>
        </w:tc>
        <w:tc>
          <w:tcPr>
            <w:tcW w:w="5393" w:type="dxa"/>
            <w:tcBorders>
              <w:top w:val="single" w:color="auto" w:sz="8" w:space="0"/>
              <w:left w:val="single" w:color="auto" w:sz="8" w:space="0"/>
              <w:bottom w:val="single" w:color="auto" w:sz="8" w:space="0"/>
              <w:right w:val="single" w:color="auto" w:sz="8" w:space="0"/>
            </w:tcBorders>
            <w:noWrap w:val="0"/>
            <w:vAlign w:val="center"/>
          </w:tcPr>
          <w:p>
            <w:pPr>
              <w:widowControl/>
              <w:spacing w:line="340" w:lineRule="exact"/>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《中华人民共和国水土保持法》</w:t>
            </w:r>
          </w:p>
          <w:p>
            <w:pPr>
              <w:widowControl/>
              <w:spacing w:line="340" w:lineRule="exact"/>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 xml:space="preserve">第二十九条 县级以上人民政府水行政主管部门、流域管理机构，应当对生产建设项目水土保持方案的实施情况进行跟踪检查，发现问题及时处理。 </w:t>
            </w:r>
          </w:p>
          <w:p>
            <w:pPr>
              <w:ind w:firstLine="420" w:firstLineChars="200"/>
              <w:rPr>
                <w:rFonts w:ascii="Times New Roman" w:hAnsi="Times New Roman" w:eastAsia="仿宋_GB2312"/>
              </w:rPr>
            </w:pPr>
            <w:r>
              <w:rPr>
                <w:rFonts w:ascii="Times New Roman" w:hAnsi="Times New Roman" w:eastAsia="仿宋_GB2312"/>
              </w:rPr>
              <w:t>第四十三条　县级以上人民政府水行政主管部门负责对水土保持情况进行监督检查。流域管理机构在其管辖范围内可以行使国务院水行政主管部门的监督检查职权。</w:t>
            </w:r>
          </w:p>
          <w:p>
            <w:pPr>
              <w:ind w:firstLine="420" w:firstLineChars="200"/>
              <w:rPr>
                <w:rFonts w:ascii="Times New Roman" w:hAnsi="Times New Roman" w:eastAsia="仿宋_GB2312"/>
              </w:rPr>
            </w:pPr>
            <w:r>
              <w:rPr>
                <w:rFonts w:ascii="Times New Roman" w:hAnsi="Times New Roman" w:eastAsia="仿宋_GB2312"/>
              </w:rPr>
              <w:t>《生产建设项目水土保持方案管理办法》</w:t>
            </w:r>
          </w:p>
          <w:p>
            <w:pPr>
              <w:widowControl/>
              <w:spacing w:line="340" w:lineRule="exact"/>
              <w:ind w:firstLine="420" w:firstLineChars="200"/>
              <w:rPr>
                <w:rFonts w:ascii="Times New Roman" w:hAnsi="Times New Roman" w:eastAsia="仿宋_GB2312"/>
                <w:color w:val="000000"/>
                <w:kern w:val="0"/>
                <w:szCs w:val="21"/>
              </w:rPr>
            </w:pPr>
            <w:r>
              <w:rPr>
                <w:rFonts w:ascii="Times New Roman" w:hAnsi="Times New Roman" w:eastAsia="仿宋_GB2312"/>
                <w:color w:val="000000"/>
                <w:kern w:val="0"/>
                <w:szCs w:val="21"/>
              </w:rPr>
              <w:t>第二十六条第一款 县级以上人民政府水行政主管部门、流域管理机构应当按照职责加强水土保持方案全链条全过程监管，充分运用卫星遥感、无人机、大数据、“互联网+监管”等手段，对生产建设项目水土保持方案实施、水土保持监测、水土保持监理、水土保持设施验收等情况进行监督检查，对发现的问题依法依规处理。</w:t>
            </w:r>
          </w:p>
        </w:tc>
      </w:tr>
      <w:tr>
        <w:tblPrEx>
          <w:tblCellMar>
            <w:top w:w="0" w:type="dxa"/>
            <w:left w:w="108" w:type="dxa"/>
            <w:bottom w:w="0" w:type="dxa"/>
            <w:right w:w="108" w:type="dxa"/>
          </w:tblCellMar>
        </w:tblPrEx>
        <w:trPr>
          <w:trHeight w:val="6657" w:hRule="atLeast"/>
        </w:trPr>
        <w:tc>
          <w:tcPr>
            <w:tcW w:w="496"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3</w:t>
            </w:r>
          </w:p>
        </w:tc>
        <w:tc>
          <w:tcPr>
            <w:tcW w:w="144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取水许可监督检查</w:t>
            </w:r>
          </w:p>
        </w:tc>
        <w:tc>
          <w:tcPr>
            <w:tcW w:w="162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泉州市水利局</w:t>
            </w:r>
          </w:p>
        </w:tc>
        <w:tc>
          <w:tcPr>
            <w:tcW w:w="5393" w:type="dxa"/>
            <w:tcBorders>
              <w:top w:val="single" w:color="auto" w:sz="8" w:space="0"/>
              <w:left w:val="single" w:color="auto" w:sz="8" w:space="0"/>
              <w:bottom w:val="single" w:color="auto" w:sz="8" w:space="0"/>
              <w:right w:val="single" w:color="auto" w:sz="8" w:space="0"/>
            </w:tcBorders>
            <w:noWrap w:val="0"/>
            <w:vAlign w:val="center"/>
          </w:tcPr>
          <w:p>
            <w:pPr>
              <w:widowControl/>
              <w:spacing w:line="340" w:lineRule="exact"/>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《取水许可和水资源费征收管理条例》</w:t>
            </w:r>
          </w:p>
          <w:p>
            <w:pPr>
              <w:widowControl/>
              <w:spacing w:line="340" w:lineRule="exact"/>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第三条 县级以上人民政府水行政主管部门按照分级管理权限，负责取水许可制度的组织实施和监督管理。</w:t>
            </w:r>
          </w:p>
          <w:p>
            <w:pPr>
              <w:widowControl/>
              <w:spacing w:line="340" w:lineRule="exact"/>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第三十八条 县级以上人民政府水行政主管部门或者流域管理机构应当依照本条例规定，加强对取水许可制度实施的监督管理。</w:t>
            </w:r>
          </w:p>
          <w:p>
            <w:pPr>
              <w:widowControl/>
              <w:spacing w:line="340" w:lineRule="exact"/>
              <w:ind w:firstLine="420" w:firstLineChars="200"/>
              <w:rPr>
                <w:rFonts w:hint="eastAsia" w:ascii="Times New Roman" w:hAnsi="Times New Roman" w:eastAsia="仿宋_GB2312"/>
                <w:color w:val="000000"/>
                <w:spacing w:val="-10"/>
                <w:kern w:val="0"/>
                <w:szCs w:val="21"/>
              </w:rPr>
            </w:pPr>
            <w:r>
              <w:rPr>
                <w:rFonts w:ascii="Times New Roman" w:hAnsi="Times New Roman" w:eastAsia="仿宋_GB2312"/>
                <w:color w:val="000000"/>
                <w:kern w:val="0"/>
                <w:szCs w:val="21"/>
              </w:rPr>
              <w:t>县级以上人民政府水行政主管部门、财政部门和价格主</w:t>
            </w:r>
            <w:r>
              <w:rPr>
                <w:rFonts w:ascii="Times New Roman" w:hAnsi="Times New Roman" w:eastAsia="仿宋_GB2312"/>
                <w:color w:val="000000"/>
                <w:spacing w:val="-10"/>
                <w:kern w:val="0"/>
                <w:szCs w:val="21"/>
              </w:rPr>
              <w:t>管部门应当加强对水资源费征收、使用情况的监督管理。</w:t>
            </w:r>
          </w:p>
          <w:p>
            <w:pPr>
              <w:widowControl/>
              <w:spacing w:line="340" w:lineRule="exact"/>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《地下水管理条例》</w:t>
            </w:r>
          </w:p>
          <w:p>
            <w:pPr>
              <w:widowControl/>
              <w:spacing w:line="340" w:lineRule="exact"/>
              <w:ind w:firstLine="420" w:firstLineChars="200"/>
              <w:rPr>
                <w:rFonts w:ascii="Times New Roman" w:hAnsi="Times New Roman" w:eastAsia="仿宋_GB2312"/>
                <w:color w:val="000000"/>
                <w:kern w:val="0"/>
                <w:szCs w:val="21"/>
              </w:rPr>
            </w:pPr>
            <w:r>
              <w:rPr>
                <w:rFonts w:ascii="Times New Roman" w:hAnsi="Times New Roman" w:eastAsia="仿宋_GB2312"/>
                <w:color w:val="000000"/>
                <w:kern w:val="0"/>
                <w:szCs w:val="21"/>
              </w:rPr>
              <w:t>第五条　县级以上地方人民政府对本行政区域内的地下水管理负责，应当将地下水管理纳入本级国民经济和社会发展规划，并采取控制开采量、防治污染等措施，维持地下水合理水位，保护地下水水质。县级以上地方人民政府水行政主管部门按照管理权限，负责本行政区域内地下水统一监督管理工作。地方人民政府生态环境主管部门负责本行政区域内地下水污染防治监督管理工作。县级以上地方人民政府自然资源等主管部门按照职</w:t>
            </w:r>
            <w:r>
              <w:rPr>
                <w:rFonts w:ascii="Times New Roman" w:hAnsi="Times New Roman" w:eastAsia="仿宋_GB2312"/>
                <w:color w:val="000000"/>
                <w:spacing w:val="-8"/>
                <w:kern w:val="0"/>
                <w:szCs w:val="21"/>
              </w:rPr>
              <w:t>责分工做好本行政区域内地下水调查、监测等相关工作。</w:t>
            </w:r>
            <w:r>
              <w:rPr>
                <w:rFonts w:ascii="Times New Roman" w:hAnsi="Times New Roman" w:eastAsia="仿宋_GB2312"/>
                <w:color w:val="000000"/>
                <w:kern w:val="0"/>
                <w:szCs w:val="21"/>
              </w:rPr>
              <w:t xml:space="preserve">                                                                                                                             </w:t>
            </w:r>
          </w:p>
        </w:tc>
      </w:tr>
      <w:tr>
        <w:tblPrEx>
          <w:tblCellMar>
            <w:top w:w="0" w:type="dxa"/>
            <w:left w:w="108" w:type="dxa"/>
            <w:bottom w:w="0" w:type="dxa"/>
            <w:right w:w="108" w:type="dxa"/>
          </w:tblCellMar>
        </w:tblPrEx>
        <w:trPr>
          <w:trHeight w:val="630" w:hRule="atLeast"/>
        </w:trPr>
        <w:tc>
          <w:tcPr>
            <w:tcW w:w="49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序号</w:t>
            </w:r>
          </w:p>
        </w:tc>
        <w:tc>
          <w:tcPr>
            <w:tcW w:w="144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事项名称</w:t>
            </w:r>
          </w:p>
        </w:tc>
        <w:tc>
          <w:tcPr>
            <w:tcW w:w="162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检查主体</w:t>
            </w:r>
          </w:p>
        </w:tc>
        <w:tc>
          <w:tcPr>
            <w:tcW w:w="539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设</w:t>
            </w:r>
            <w:r>
              <w:rPr>
                <w:rFonts w:hint="eastAsia" w:ascii="Times New Roman" w:hAnsi="Times New Roman" w:eastAsia="仿宋_GB2312"/>
                <w:bCs/>
                <w:kern w:val="0"/>
                <w:szCs w:val="21"/>
              </w:rPr>
              <w:t xml:space="preserve">  </w:t>
            </w:r>
            <w:r>
              <w:rPr>
                <w:rFonts w:ascii="Times New Roman" w:hAnsi="Times New Roman" w:eastAsia="仿宋_GB2312"/>
                <w:bCs/>
                <w:kern w:val="0"/>
                <w:szCs w:val="21"/>
              </w:rPr>
              <w:t>定</w:t>
            </w:r>
            <w:r>
              <w:rPr>
                <w:rFonts w:hint="eastAsia" w:ascii="Times New Roman" w:hAnsi="Times New Roman" w:eastAsia="仿宋_GB2312"/>
                <w:bCs/>
                <w:kern w:val="0"/>
                <w:szCs w:val="21"/>
              </w:rPr>
              <w:t xml:space="preserve">  </w:t>
            </w:r>
            <w:r>
              <w:rPr>
                <w:rFonts w:ascii="Times New Roman" w:hAnsi="Times New Roman" w:eastAsia="仿宋_GB2312"/>
                <w:bCs/>
                <w:kern w:val="0"/>
                <w:szCs w:val="21"/>
              </w:rPr>
              <w:t>依</w:t>
            </w:r>
            <w:r>
              <w:rPr>
                <w:rFonts w:hint="eastAsia" w:ascii="Times New Roman" w:hAnsi="Times New Roman" w:eastAsia="仿宋_GB2312"/>
                <w:bCs/>
                <w:kern w:val="0"/>
                <w:szCs w:val="21"/>
              </w:rPr>
              <w:t xml:space="preserve">  </w:t>
            </w:r>
            <w:r>
              <w:rPr>
                <w:rFonts w:ascii="Times New Roman" w:hAnsi="Times New Roman" w:eastAsia="仿宋_GB2312"/>
                <w:bCs/>
                <w:kern w:val="0"/>
                <w:szCs w:val="21"/>
              </w:rPr>
              <w:t>据</w:t>
            </w:r>
          </w:p>
        </w:tc>
      </w:tr>
      <w:tr>
        <w:tblPrEx>
          <w:tblCellMar>
            <w:top w:w="0" w:type="dxa"/>
            <w:left w:w="108" w:type="dxa"/>
            <w:bottom w:w="0" w:type="dxa"/>
            <w:right w:w="108" w:type="dxa"/>
          </w:tblCellMar>
        </w:tblPrEx>
        <w:trPr>
          <w:trHeight w:val="5254" w:hRule="atLeast"/>
        </w:trPr>
        <w:tc>
          <w:tcPr>
            <w:tcW w:w="496"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4</w:t>
            </w:r>
          </w:p>
        </w:tc>
        <w:tc>
          <w:tcPr>
            <w:tcW w:w="144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对用水活动的监督检查</w:t>
            </w:r>
          </w:p>
        </w:tc>
        <w:tc>
          <w:tcPr>
            <w:tcW w:w="162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泉州市水利局</w:t>
            </w:r>
          </w:p>
        </w:tc>
        <w:tc>
          <w:tcPr>
            <w:tcW w:w="5393" w:type="dxa"/>
            <w:tcBorders>
              <w:top w:val="single" w:color="auto" w:sz="8" w:space="0"/>
              <w:left w:val="single" w:color="auto" w:sz="8" w:space="0"/>
              <w:bottom w:val="single" w:color="auto" w:sz="8" w:space="0"/>
              <w:right w:val="single" w:color="auto" w:sz="8" w:space="0"/>
            </w:tcBorders>
            <w:noWrap w:val="0"/>
            <w:vAlign w:val="center"/>
          </w:tcPr>
          <w:p>
            <w:pPr>
              <w:widowControl/>
              <w:spacing w:line="340" w:lineRule="exact"/>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《中华人民共和国水法》</w:t>
            </w:r>
          </w:p>
          <w:p>
            <w:pPr>
              <w:widowControl/>
              <w:spacing w:line="340" w:lineRule="exact"/>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 xml:space="preserve">第十二条国务院水行政主管部门在国家确定的重要江河、湖泊设立的流域管理机构(以下简称流域管理机构)，在所管辖的范围内行使法律、行政法规规定的和国务院水行政主管部门授予的水资源管理和监督职责。县级以上地方人民政府有关部门按照职责分工，负责本行政区域内水资源开发、利用、节约和保护的有关工作。                                                                   </w:t>
            </w:r>
            <w:r>
              <w:rPr>
                <w:rFonts w:ascii="Times New Roman" w:hAnsi="Times New Roman" w:eastAsia="仿宋_GB2312"/>
                <w:color w:val="000000"/>
                <w:kern w:val="0"/>
                <w:szCs w:val="21"/>
              </w:rPr>
              <w:br w:type="textWrapping"/>
            </w:r>
            <w:r>
              <w:rPr>
                <w:rFonts w:hint="eastAsia" w:ascii="Times New Roman" w:hAnsi="Times New Roman" w:eastAsia="仿宋_GB2312"/>
                <w:color w:val="000000"/>
                <w:kern w:val="0"/>
                <w:szCs w:val="21"/>
              </w:rPr>
              <w:t xml:space="preserve">    </w:t>
            </w:r>
            <w:r>
              <w:rPr>
                <w:rFonts w:ascii="Times New Roman" w:hAnsi="Times New Roman" w:eastAsia="仿宋_GB2312"/>
                <w:color w:val="000000"/>
                <w:kern w:val="0"/>
                <w:szCs w:val="21"/>
              </w:rPr>
              <w:t>《节约用水条例》</w:t>
            </w:r>
          </w:p>
          <w:p>
            <w:pPr>
              <w:widowControl/>
              <w:spacing w:line="340" w:lineRule="exact"/>
              <w:ind w:firstLine="420" w:firstLineChars="200"/>
              <w:rPr>
                <w:rFonts w:ascii="Times New Roman" w:hAnsi="Times New Roman" w:eastAsia="仿宋_GB2312"/>
                <w:color w:val="000000"/>
                <w:kern w:val="0"/>
                <w:szCs w:val="21"/>
              </w:rPr>
            </w:pPr>
            <w:r>
              <w:rPr>
                <w:rFonts w:ascii="Times New Roman" w:hAnsi="Times New Roman" w:eastAsia="仿宋_GB2312"/>
                <w:color w:val="000000"/>
                <w:kern w:val="0"/>
                <w:szCs w:val="21"/>
              </w:rPr>
              <w:t>第四十三条第一款 县级以上人民政府水行政、住房城乡建设、市场监督管理等主管部门应当按照职责分工，加强对用水活动的监督检查，依法查处违法行为。</w:t>
            </w:r>
          </w:p>
        </w:tc>
      </w:tr>
      <w:tr>
        <w:tblPrEx>
          <w:tblCellMar>
            <w:top w:w="0" w:type="dxa"/>
            <w:left w:w="108" w:type="dxa"/>
            <w:bottom w:w="0" w:type="dxa"/>
            <w:right w:w="108" w:type="dxa"/>
          </w:tblCellMar>
        </w:tblPrEx>
        <w:trPr>
          <w:trHeight w:val="6984" w:hRule="atLeast"/>
        </w:trPr>
        <w:tc>
          <w:tcPr>
            <w:tcW w:w="496"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440" w:type="dxa"/>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对建设单位、施工总承包单位落实保障工资支付制度情况进行监督检查</w:t>
            </w:r>
          </w:p>
        </w:tc>
        <w:tc>
          <w:tcPr>
            <w:tcW w:w="162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泉州市水利局</w:t>
            </w:r>
          </w:p>
        </w:tc>
        <w:tc>
          <w:tcPr>
            <w:tcW w:w="5393" w:type="dxa"/>
            <w:tcBorders>
              <w:top w:val="single" w:color="auto" w:sz="8" w:space="0"/>
              <w:left w:val="single" w:color="auto" w:sz="8" w:space="0"/>
              <w:bottom w:val="single" w:color="auto" w:sz="8" w:space="0"/>
              <w:right w:val="single" w:color="auto" w:sz="8" w:space="0"/>
            </w:tcBorders>
            <w:noWrap w:val="0"/>
            <w:vAlign w:val="center"/>
          </w:tcPr>
          <w:p>
            <w:pPr>
              <w:widowControl/>
              <w:spacing w:line="340" w:lineRule="exact"/>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《保障农民工工资支付条例》</w:t>
            </w:r>
          </w:p>
          <w:p>
            <w:pPr>
              <w:widowControl/>
              <w:spacing w:line="340" w:lineRule="exact"/>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第七条第二款　住房城乡建设、交通运输、水利等相关行业工程建设主管部门按照职责履行行业监管责任，督办因违法发包、转包、违法分包、挂靠、拖欠工程款等导致的拖欠农民工工资案件。</w:t>
            </w:r>
          </w:p>
          <w:p>
            <w:pPr>
              <w:widowControl/>
              <w:spacing w:line="340" w:lineRule="exact"/>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第三十九条　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w:t>
            </w:r>
          </w:p>
          <w:p>
            <w:pPr>
              <w:widowControl/>
              <w:spacing w:line="340" w:lineRule="exact"/>
              <w:ind w:firstLine="420" w:firstLineChars="200"/>
              <w:rPr>
                <w:rFonts w:ascii="Times New Roman" w:hAnsi="Times New Roman" w:eastAsia="仿宋_GB2312"/>
                <w:color w:val="000000"/>
                <w:kern w:val="0"/>
                <w:szCs w:val="21"/>
              </w:rPr>
            </w:pPr>
            <w:r>
              <w:rPr>
                <w:rFonts w:ascii="Times New Roman" w:hAnsi="Times New Roman" w:eastAsia="仿宋_GB2312"/>
                <w:color w:val="000000"/>
                <w:kern w:val="0"/>
                <w:szCs w:val="21"/>
              </w:rPr>
              <w:t>第四十四条　财政部门、审计机关和相关行业工程建设主管部门按照职责，依法对政府投资项目建设单位按照工程施工合同约定向农民工工资专用账户拨付资金情况进行监督。</w:t>
            </w:r>
          </w:p>
        </w:tc>
      </w:tr>
      <w:tr>
        <w:tblPrEx>
          <w:tblCellMar>
            <w:top w:w="0" w:type="dxa"/>
            <w:left w:w="108" w:type="dxa"/>
            <w:bottom w:w="0" w:type="dxa"/>
            <w:right w:w="108" w:type="dxa"/>
          </w:tblCellMar>
        </w:tblPrEx>
        <w:trPr>
          <w:trHeight w:val="630" w:hRule="atLeast"/>
        </w:trPr>
        <w:tc>
          <w:tcPr>
            <w:tcW w:w="49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序号</w:t>
            </w:r>
          </w:p>
        </w:tc>
        <w:tc>
          <w:tcPr>
            <w:tcW w:w="144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事项名称</w:t>
            </w:r>
          </w:p>
        </w:tc>
        <w:tc>
          <w:tcPr>
            <w:tcW w:w="162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检查主体</w:t>
            </w:r>
          </w:p>
        </w:tc>
        <w:tc>
          <w:tcPr>
            <w:tcW w:w="539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设</w:t>
            </w:r>
            <w:r>
              <w:rPr>
                <w:rFonts w:hint="eastAsia" w:ascii="Times New Roman" w:hAnsi="Times New Roman" w:eastAsia="仿宋_GB2312"/>
                <w:bCs/>
                <w:kern w:val="0"/>
                <w:szCs w:val="21"/>
              </w:rPr>
              <w:t xml:space="preserve">  </w:t>
            </w:r>
            <w:r>
              <w:rPr>
                <w:rFonts w:ascii="Times New Roman" w:hAnsi="Times New Roman" w:eastAsia="仿宋_GB2312"/>
                <w:bCs/>
                <w:kern w:val="0"/>
                <w:szCs w:val="21"/>
              </w:rPr>
              <w:t>定</w:t>
            </w:r>
            <w:r>
              <w:rPr>
                <w:rFonts w:hint="eastAsia" w:ascii="Times New Roman" w:hAnsi="Times New Roman" w:eastAsia="仿宋_GB2312"/>
                <w:bCs/>
                <w:kern w:val="0"/>
                <w:szCs w:val="21"/>
              </w:rPr>
              <w:t xml:space="preserve">  </w:t>
            </w:r>
            <w:r>
              <w:rPr>
                <w:rFonts w:ascii="Times New Roman" w:hAnsi="Times New Roman" w:eastAsia="仿宋_GB2312"/>
                <w:bCs/>
                <w:kern w:val="0"/>
                <w:szCs w:val="21"/>
              </w:rPr>
              <w:t>依</w:t>
            </w:r>
            <w:r>
              <w:rPr>
                <w:rFonts w:hint="eastAsia" w:ascii="Times New Roman" w:hAnsi="Times New Roman" w:eastAsia="仿宋_GB2312"/>
                <w:bCs/>
                <w:kern w:val="0"/>
                <w:szCs w:val="21"/>
              </w:rPr>
              <w:t xml:space="preserve">  </w:t>
            </w:r>
            <w:r>
              <w:rPr>
                <w:rFonts w:ascii="Times New Roman" w:hAnsi="Times New Roman" w:eastAsia="仿宋_GB2312"/>
                <w:bCs/>
                <w:kern w:val="0"/>
                <w:szCs w:val="21"/>
              </w:rPr>
              <w:t>据</w:t>
            </w:r>
          </w:p>
        </w:tc>
      </w:tr>
      <w:tr>
        <w:tblPrEx>
          <w:tblCellMar>
            <w:top w:w="0" w:type="dxa"/>
            <w:left w:w="108" w:type="dxa"/>
            <w:bottom w:w="0" w:type="dxa"/>
            <w:right w:w="108" w:type="dxa"/>
          </w:tblCellMar>
        </w:tblPrEx>
        <w:trPr>
          <w:trHeight w:val="4787" w:hRule="atLeast"/>
        </w:trPr>
        <w:tc>
          <w:tcPr>
            <w:tcW w:w="496"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6</w:t>
            </w:r>
          </w:p>
        </w:tc>
        <w:tc>
          <w:tcPr>
            <w:tcW w:w="1440" w:type="dxa"/>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涉河建设项目、特定活动检查</w:t>
            </w:r>
          </w:p>
        </w:tc>
        <w:tc>
          <w:tcPr>
            <w:tcW w:w="162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泉州市水利局</w:t>
            </w:r>
          </w:p>
        </w:tc>
        <w:tc>
          <w:tcPr>
            <w:tcW w:w="5393" w:type="dxa"/>
            <w:tcBorders>
              <w:top w:val="single" w:color="auto" w:sz="8" w:space="0"/>
              <w:left w:val="single" w:color="auto" w:sz="8" w:space="0"/>
              <w:bottom w:val="single" w:color="auto" w:sz="8" w:space="0"/>
              <w:right w:val="single" w:color="auto" w:sz="8" w:space="0"/>
            </w:tcBorders>
            <w:noWrap w:val="0"/>
            <w:vAlign w:val="center"/>
          </w:tcPr>
          <w:p>
            <w:pPr>
              <w:widowControl/>
              <w:spacing w:line="240" w:lineRule="exact"/>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《中华人民共和国水法》</w:t>
            </w:r>
          </w:p>
          <w:p>
            <w:pPr>
              <w:widowControl/>
              <w:spacing w:line="240" w:lineRule="exact"/>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第三十八条　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pPr>
              <w:widowControl/>
              <w:spacing w:line="240" w:lineRule="exact"/>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《中华人民共和国防洪法》</w:t>
            </w:r>
          </w:p>
          <w:p>
            <w:pPr>
              <w:widowControl/>
              <w:spacing w:line="240" w:lineRule="exact"/>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第二十八条　对于河道、湖泊管理范围内依照本法规定建设的工程设施，水行政主管部门有权依法检查；水行政主管部门检查时，被检查者应当如实提供有关的情况和资料。</w:t>
            </w:r>
          </w:p>
          <w:p>
            <w:pPr>
              <w:widowControl/>
              <w:spacing w:line="240" w:lineRule="exact"/>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《河道管理范围内建设项目管理的有关规定》（水政〔1992〕7号）</w:t>
            </w:r>
          </w:p>
          <w:p>
            <w:pPr>
              <w:widowControl/>
              <w:spacing w:line="240" w:lineRule="exact"/>
              <w:ind w:firstLine="420" w:firstLineChars="200"/>
              <w:rPr>
                <w:rFonts w:ascii="Times New Roman" w:hAnsi="Times New Roman" w:eastAsia="仿宋_GB2312"/>
                <w:color w:val="000000"/>
                <w:kern w:val="0"/>
                <w:szCs w:val="21"/>
              </w:rPr>
            </w:pPr>
            <w:r>
              <w:rPr>
                <w:rFonts w:ascii="Times New Roman" w:hAnsi="Times New Roman" w:eastAsia="仿宋_GB2312"/>
                <w:color w:val="000000"/>
                <w:kern w:val="0"/>
                <w:szCs w:val="21"/>
              </w:rPr>
              <w:t>第十一条  建设项目施工期间，河道主管机关应对其是否符合同意书要求进行检查，被检查单位应如实提供情况。如发现未按审查同意书或经审核的施工安排的要求进行施工的，或者出现涉及江河防洪与建设项目防汛安全方面的问题，应及时提出意见，建设单位必须执行；遇重大问题，应同时抄报上级水行政主管部门。</w:t>
            </w:r>
          </w:p>
        </w:tc>
      </w:tr>
      <w:tr>
        <w:tblPrEx>
          <w:tblCellMar>
            <w:top w:w="0" w:type="dxa"/>
            <w:left w:w="108" w:type="dxa"/>
            <w:bottom w:w="0" w:type="dxa"/>
            <w:right w:w="108" w:type="dxa"/>
          </w:tblCellMar>
        </w:tblPrEx>
        <w:trPr>
          <w:trHeight w:val="7439" w:hRule="atLeast"/>
        </w:trPr>
        <w:tc>
          <w:tcPr>
            <w:tcW w:w="496"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7</w:t>
            </w:r>
          </w:p>
        </w:tc>
        <w:tc>
          <w:tcPr>
            <w:tcW w:w="1440" w:type="dxa"/>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仿宋_GB2312"/>
                <w:color w:val="000000"/>
                <w:spacing w:val="-12"/>
                <w:kern w:val="0"/>
                <w:szCs w:val="21"/>
              </w:rPr>
            </w:pPr>
            <w:r>
              <w:rPr>
                <w:rFonts w:ascii="Times New Roman" w:hAnsi="Times New Roman" w:eastAsia="仿宋_GB2312"/>
                <w:color w:val="000000"/>
                <w:spacing w:val="-12"/>
                <w:kern w:val="0"/>
                <w:szCs w:val="21"/>
              </w:rPr>
              <w:t>小水电生态流量监督检查</w:t>
            </w:r>
          </w:p>
        </w:tc>
        <w:tc>
          <w:tcPr>
            <w:tcW w:w="162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泉州市水利局</w:t>
            </w:r>
          </w:p>
        </w:tc>
        <w:tc>
          <w:tcPr>
            <w:tcW w:w="5393" w:type="dxa"/>
            <w:tcBorders>
              <w:top w:val="single" w:color="auto" w:sz="8" w:space="0"/>
              <w:left w:val="single" w:color="auto" w:sz="8" w:space="0"/>
              <w:bottom w:val="single" w:color="auto" w:sz="8" w:space="0"/>
              <w:right w:val="single" w:color="auto" w:sz="8" w:space="0"/>
            </w:tcBorders>
            <w:noWrap w:val="0"/>
            <w:vAlign w:val="center"/>
          </w:tcPr>
          <w:p>
            <w:pPr>
              <w:widowControl/>
              <w:spacing w:line="240" w:lineRule="exact"/>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《取水许可管理办法》</w:t>
            </w:r>
          </w:p>
          <w:p>
            <w:pPr>
              <w:widowControl/>
              <w:spacing w:line="240" w:lineRule="exact"/>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第四十条 县级以上地方人民政府水行政主管部门和流域管理机构按照管理权限，负责所辖范围内的水量调度工作。</w:t>
            </w:r>
          </w:p>
          <w:p>
            <w:pPr>
              <w:widowControl/>
              <w:spacing w:line="240" w:lineRule="exact"/>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蓄水工程或者水力发电工程，应当服从下达的调度计划或者调度方案，确保下泄流量达到规定的控制指标。</w:t>
            </w:r>
          </w:p>
          <w:p>
            <w:pPr>
              <w:widowControl/>
              <w:spacing w:line="240" w:lineRule="exact"/>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《福建省水资源条例》</w:t>
            </w:r>
          </w:p>
          <w:p>
            <w:pPr>
              <w:widowControl/>
              <w:spacing w:line="240" w:lineRule="exact"/>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 xml:space="preserve">第二十九条第二款 严格控制水电站技术改造。水电站进行技术改造应当符合大坝高度不改变、水库库区淹没不增加、水库主要特征不改变、污染物排放不增加等条件，并由县级以上地方人民政府审查批准。对运行时间已达到设计年限，未经生态影响综合论证的，不得批准其进行技术改造。          </w:t>
            </w:r>
          </w:p>
          <w:p>
            <w:pPr>
              <w:widowControl/>
              <w:spacing w:line="240" w:lineRule="exact"/>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《福建省流域水资源保护条例》</w:t>
            </w:r>
          </w:p>
          <w:p>
            <w:pPr>
              <w:widowControl/>
              <w:spacing w:line="240" w:lineRule="exact"/>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第十七条  县级以上地方人民政府环境保护主管部门应当会同水行政等主管部门，根据流域综合规划或者水能资源开发规划环境影响评价要求，坚持生态保护优先原则，科学制定辖区内水电站最小生态下泄流量。</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县级以上地方人民政府水行政主管部门应当会同环境保护主管部门，根据流域水量和水环境质量变化情况，科学制定调水方案。</w:t>
            </w:r>
          </w:p>
          <w:p>
            <w:pPr>
              <w:widowControl/>
              <w:spacing w:line="240" w:lineRule="exact"/>
              <w:ind w:firstLine="420" w:firstLineChars="200"/>
              <w:rPr>
                <w:rFonts w:ascii="Times New Roman" w:hAnsi="Times New Roman" w:eastAsia="仿宋_GB2312"/>
                <w:color w:val="000000"/>
                <w:kern w:val="0"/>
                <w:szCs w:val="21"/>
              </w:rPr>
            </w:pPr>
            <w:r>
              <w:rPr>
                <w:rFonts w:ascii="Times New Roman" w:hAnsi="Times New Roman" w:eastAsia="仿宋_GB2312"/>
                <w:color w:val="000000"/>
                <w:kern w:val="0"/>
                <w:szCs w:val="21"/>
              </w:rPr>
              <w:t>《福建省发展</w:t>
            </w:r>
            <w:r>
              <w:rPr>
                <w:rFonts w:hint="eastAsia" w:ascii="Times New Roman" w:hAnsi="Times New Roman" w:eastAsia="仿宋_GB2312"/>
                <w:color w:val="000000"/>
                <w:kern w:val="0"/>
                <w:szCs w:val="21"/>
                <w:lang w:eastAsia="zh-CN"/>
              </w:rPr>
              <w:t>和</w:t>
            </w:r>
            <w:r>
              <w:rPr>
                <w:rFonts w:ascii="Times New Roman" w:hAnsi="Times New Roman" w:eastAsia="仿宋_GB2312"/>
                <w:color w:val="000000"/>
                <w:kern w:val="0"/>
                <w:szCs w:val="21"/>
              </w:rPr>
              <w:t xml:space="preserve">改革委员会 福建省生态环境厅 福建省水利厅关于印发&lt;福建省水电站生态下泄流量监督管理办法&gt;的通知》（闽发改商价〔2021〕733号） </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 xml:space="preserve">第六条 水利部门牵头指导和督促总装机容量5万千瓦及以下水电站安装生态下泄流量在线监控装置，牵头会同相关部门对其安装、运行情况进行监管考核，确保监控设施接入监控平台正常运转、落实核定的最小生态下泄流量，会同生态环境部门确定生态下泄流量合格情况，对生态下泄流量落实情况实施监管。   </w:t>
            </w:r>
          </w:p>
        </w:tc>
      </w:tr>
      <w:tr>
        <w:tblPrEx>
          <w:tblCellMar>
            <w:top w:w="0" w:type="dxa"/>
            <w:left w:w="108" w:type="dxa"/>
            <w:bottom w:w="0" w:type="dxa"/>
            <w:right w:w="108" w:type="dxa"/>
          </w:tblCellMar>
        </w:tblPrEx>
        <w:trPr>
          <w:trHeight w:val="630" w:hRule="atLeast"/>
        </w:trPr>
        <w:tc>
          <w:tcPr>
            <w:tcW w:w="49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序号</w:t>
            </w:r>
          </w:p>
        </w:tc>
        <w:tc>
          <w:tcPr>
            <w:tcW w:w="144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事项名称</w:t>
            </w:r>
          </w:p>
        </w:tc>
        <w:tc>
          <w:tcPr>
            <w:tcW w:w="162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检查主体</w:t>
            </w:r>
          </w:p>
        </w:tc>
        <w:tc>
          <w:tcPr>
            <w:tcW w:w="539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设</w:t>
            </w:r>
            <w:r>
              <w:rPr>
                <w:rFonts w:hint="eastAsia" w:ascii="Times New Roman" w:hAnsi="Times New Roman" w:eastAsia="仿宋_GB2312"/>
                <w:bCs/>
                <w:kern w:val="0"/>
                <w:szCs w:val="21"/>
              </w:rPr>
              <w:t xml:space="preserve">  </w:t>
            </w:r>
            <w:r>
              <w:rPr>
                <w:rFonts w:ascii="Times New Roman" w:hAnsi="Times New Roman" w:eastAsia="仿宋_GB2312"/>
                <w:bCs/>
                <w:kern w:val="0"/>
                <w:szCs w:val="21"/>
              </w:rPr>
              <w:t>定</w:t>
            </w:r>
            <w:r>
              <w:rPr>
                <w:rFonts w:hint="eastAsia" w:ascii="Times New Roman" w:hAnsi="Times New Roman" w:eastAsia="仿宋_GB2312"/>
                <w:bCs/>
                <w:kern w:val="0"/>
                <w:szCs w:val="21"/>
              </w:rPr>
              <w:t xml:space="preserve">  </w:t>
            </w:r>
            <w:r>
              <w:rPr>
                <w:rFonts w:ascii="Times New Roman" w:hAnsi="Times New Roman" w:eastAsia="仿宋_GB2312"/>
                <w:bCs/>
                <w:kern w:val="0"/>
                <w:szCs w:val="21"/>
              </w:rPr>
              <w:t>依</w:t>
            </w:r>
            <w:r>
              <w:rPr>
                <w:rFonts w:hint="eastAsia" w:ascii="Times New Roman" w:hAnsi="Times New Roman" w:eastAsia="仿宋_GB2312"/>
                <w:bCs/>
                <w:kern w:val="0"/>
                <w:szCs w:val="21"/>
              </w:rPr>
              <w:t xml:space="preserve">  </w:t>
            </w:r>
            <w:r>
              <w:rPr>
                <w:rFonts w:ascii="Times New Roman" w:hAnsi="Times New Roman" w:eastAsia="仿宋_GB2312"/>
                <w:bCs/>
                <w:kern w:val="0"/>
                <w:szCs w:val="21"/>
              </w:rPr>
              <w:t>据</w:t>
            </w:r>
          </w:p>
        </w:tc>
      </w:tr>
      <w:tr>
        <w:tblPrEx>
          <w:tblCellMar>
            <w:top w:w="0" w:type="dxa"/>
            <w:left w:w="108" w:type="dxa"/>
            <w:bottom w:w="0" w:type="dxa"/>
            <w:right w:w="108" w:type="dxa"/>
          </w:tblCellMar>
        </w:tblPrEx>
        <w:trPr>
          <w:trHeight w:val="12262" w:hRule="atLeast"/>
        </w:trPr>
        <w:tc>
          <w:tcPr>
            <w:tcW w:w="496"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8</w:t>
            </w:r>
          </w:p>
        </w:tc>
        <w:tc>
          <w:tcPr>
            <w:tcW w:w="144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对水利生产经营单位安全生产的监督检查</w:t>
            </w:r>
          </w:p>
        </w:tc>
        <w:tc>
          <w:tcPr>
            <w:tcW w:w="162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泉州市水利局</w:t>
            </w:r>
          </w:p>
        </w:tc>
        <w:tc>
          <w:tcPr>
            <w:tcW w:w="5393" w:type="dxa"/>
            <w:tcBorders>
              <w:top w:val="single" w:color="auto" w:sz="8" w:space="0"/>
              <w:left w:val="single" w:color="auto" w:sz="8" w:space="0"/>
              <w:bottom w:val="single" w:color="auto" w:sz="8" w:space="0"/>
              <w:right w:val="single" w:color="auto" w:sz="8" w:space="0"/>
            </w:tcBorders>
            <w:noWrap w:val="0"/>
            <w:vAlign w:val="center"/>
          </w:tcPr>
          <w:p>
            <w:pPr>
              <w:widowControl/>
              <w:spacing w:line="280" w:lineRule="exact"/>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《中华人民共和国安全生产法》</w:t>
            </w:r>
          </w:p>
          <w:p>
            <w:pPr>
              <w:widowControl/>
              <w:spacing w:line="280" w:lineRule="exact"/>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第十条第二款 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widowControl/>
              <w:spacing w:line="280" w:lineRule="exact"/>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widowControl/>
              <w:spacing w:line="280" w:lineRule="exact"/>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000000"/>
                <w:kern w:val="0"/>
                <w:szCs w:val="21"/>
              </w:rPr>
              <w:t>：</w:t>
            </w:r>
          </w:p>
          <w:p>
            <w:pPr>
              <w:widowControl/>
              <w:spacing w:line="280" w:lineRule="exact"/>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（一）进入生产经营单位进行检查，调阅有关资料，向有关单位和人员了解情况；</w:t>
            </w:r>
          </w:p>
          <w:p>
            <w:pPr>
              <w:widowControl/>
              <w:spacing w:line="280" w:lineRule="exact"/>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（二）对检查中发现的安全生产违法行为，当场予以纠正或者要求限期改正；对依法应当给予行政处罚的行为，依照本法和其他有关法律、行政法规的规定作出行政处罚决定；</w:t>
            </w:r>
          </w:p>
          <w:p>
            <w:pPr>
              <w:widowControl/>
              <w:spacing w:line="280" w:lineRule="exact"/>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spacing w:line="280" w:lineRule="exact"/>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spacing w:line="280" w:lineRule="exact"/>
              <w:ind w:firstLine="420" w:firstLineChars="200"/>
              <w:rPr>
                <w:rFonts w:hint="eastAsia" w:ascii="Times New Roman" w:hAnsi="Times New Roman" w:eastAsia="仿宋_GB2312"/>
                <w:color w:val="000000"/>
                <w:spacing w:val="-8"/>
                <w:kern w:val="0"/>
                <w:szCs w:val="21"/>
              </w:rPr>
            </w:pPr>
            <w:r>
              <w:rPr>
                <w:rFonts w:ascii="Times New Roman" w:hAnsi="Times New Roman" w:eastAsia="仿宋_GB2312"/>
                <w:color w:val="000000"/>
                <w:kern w:val="0"/>
                <w:szCs w:val="21"/>
              </w:rPr>
              <w:t>监</w:t>
            </w:r>
            <w:r>
              <w:rPr>
                <w:rFonts w:ascii="Times New Roman" w:hAnsi="Times New Roman" w:eastAsia="仿宋_GB2312"/>
                <w:color w:val="000000"/>
                <w:spacing w:val="-8"/>
                <w:kern w:val="0"/>
                <w:szCs w:val="21"/>
              </w:rPr>
              <w:t>督检查不得影响被检查单位的正常生产经营活动。</w:t>
            </w:r>
          </w:p>
          <w:p>
            <w:pPr>
              <w:widowControl/>
              <w:spacing w:line="280" w:lineRule="exact"/>
              <w:ind w:firstLine="420" w:firstLineChars="200"/>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《水利部关于印发水利安全生产监督管理办法（试行）的通知》（水监督〔2021〕412号）                                                                                             </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rPr>
              <w:t xml:space="preserve">  </w:t>
            </w:r>
            <w:r>
              <w:rPr>
                <w:rFonts w:ascii="Times New Roman" w:hAnsi="Times New Roman" w:eastAsia="仿宋_GB2312"/>
                <w:color w:val="000000"/>
                <w:kern w:val="0"/>
                <w:szCs w:val="21"/>
              </w:rPr>
              <w:t>第二十条 各级水行政主管部门、流域管理机构的相关专业管理部门，按照工作职责对本专业领域水利安全生产工作进行监督管理，健全并落实本专业领域有关规章制度和技术标准，监督和指导本专业领域水利生产经营单位落实安全生产主体责任。</w:t>
            </w:r>
          </w:p>
        </w:tc>
      </w:tr>
      <w:tr>
        <w:tblPrEx>
          <w:tblCellMar>
            <w:top w:w="0" w:type="dxa"/>
            <w:left w:w="108" w:type="dxa"/>
            <w:bottom w:w="0" w:type="dxa"/>
            <w:right w:w="108" w:type="dxa"/>
          </w:tblCellMar>
        </w:tblPrEx>
        <w:trPr>
          <w:trHeight w:val="630" w:hRule="atLeast"/>
        </w:trPr>
        <w:tc>
          <w:tcPr>
            <w:tcW w:w="49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序号</w:t>
            </w:r>
          </w:p>
        </w:tc>
        <w:tc>
          <w:tcPr>
            <w:tcW w:w="144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事项名称</w:t>
            </w:r>
          </w:p>
        </w:tc>
        <w:tc>
          <w:tcPr>
            <w:tcW w:w="162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检查主体</w:t>
            </w:r>
          </w:p>
        </w:tc>
        <w:tc>
          <w:tcPr>
            <w:tcW w:w="5393"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bCs/>
                <w:kern w:val="0"/>
                <w:szCs w:val="21"/>
              </w:rPr>
            </w:pPr>
            <w:r>
              <w:rPr>
                <w:rFonts w:ascii="Times New Roman" w:hAnsi="Times New Roman" w:eastAsia="仿宋_GB2312"/>
                <w:bCs/>
                <w:kern w:val="0"/>
                <w:szCs w:val="21"/>
              </w:rPr>
              <w:t>设</w:t>
            </w:r>
            <w:r>
              <w:rPr>
                <w:rFonts w:hint="eastAsia" w:ascii="Times New Roman" w:hAnsi="Times New Roman" w:eastAsia="仿宋_GB2312"/>
                <w:bCs/>
                <w:kern w:val="0"/>
                <w:szCs w:val="21"/>
              </w:rPr>
              <w:t xml:space="preserve">  </w:t>
            </w:r>
            <w:r>
              <w:rPr>
                <w:rFonts w:ascii="Times New Roman" w:hAnsi="Times New Roman" w:eastAsia="仿宋_GB2312"/>
                <w:bCs/>
                <w:kern w:val="0"/>
                <w:szCs w:val="21"/>
              </w:rPr>
              <w:t>定</w:t>
            </w:r>
            <w:r>
              <w:rPr>
                <w:rFonts w:hint="eastAsia" w:ascii="Times New Roman" w:hAnsi="Times New Roman" w:eastAsia="仿宋_GB2312"/>
                <w:bCs/>
                <w:kern w:val="0"/>
                <w:szCs w:val="21"/>
              </w:rPr>
              <w:t xml:space="preserve">  </w:t>
            </w:r>
            <w:r>
              <w:rPr>
                <w:rFonts w:ascii="Times New Roman" w:hAnsi="Times New Roman" w:eastAsia="仿宋_GB2312"/>
                <w:bCs/>
                <w:kern w:val="0"/>
                <w:szCs w:val="21"/>
              </w:rPr>
              <w:t>依</w:t>
            </w:r>
            <w:r>
              <w:rPr>
                <w:rFonts w:hint="eastAsia" w:ascii="Times New Roman" w:hAnsi="Times New Roman" w:eastAsia="仿宋_GB2312"/>
                <w:bCs/>
                <w:kern w:val="0"/>
                <w:szCs w:val="21"/>
              </w:rPr>
              <w:t xml:space="preserve">  </w:t>
            </w:r>
            <w:r>
              <w:rPr>
                <w:rFonts w:ascii="Times New Roman" w:hAnsi="Times New Roman" w:eastAsia="仿宋_GB2312"/>
                <w:bCs/>
                <w:kern w:val="0"/>
                <w:szCs w:val="21"/>
              </w:rPr>
              <w:t>据</w:t>
            </w:r>
          </w:p>
        </w:tc>
      </w:tr>
      <w:tr>
        <w:tblPrEx>
          <w:tblCellMar>
            <w:top w:w="0" w:type="dxa"/>
            <w:left w:w="108" w:type="dxa"/>
            <w:bottom w:w="0" w:type="dxa"/>
            <w:right w:w="108" w:type="dxa"/>
          </w:tblCellMar>
        </w:tblPrEx>
        <w:trPr>
          <w:trHeight w:val="11950" w:hRule="atLeast"/>
        </w:trPr>
        <w:tc>
          <w:tcPr>
            <w:tcW w:w="496"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9</w:t>
            </w:r>
          </w:p>
        </w:tc>
        <w:tc>
          <w:tcPr>
            <w:tcW w:w="144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水工程建设规划同意书监督检查</w:t>
            </w:r>
          </w:p>
        </w:tc>
        <w:tc>
          <w:tcPr>
            <w:tcW w:w="162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泉州市水利局</w:t>
            </w:r>
          </w:p>
        </w:tc>
        <w:tc>
          <w:tcPr>
            <w:tcW w:w="5393" w:type="dxa"/>
            <w:tcBorders>
              <w:top w:val="single" w:color="auto" w:sz="8" w:space="0"/>
              <w:left w:val="single" w:color="auto" w:sz="8" w:space="0"/>
              <w:bottom w:val="single" w:color="auto" w:sz="8" w:space="0"/>
              <w:right w:val="single" w:color="auto" w:sz="8" w:space="0"/>
            </w:tcBorders>
            <w:noWrap w:val="0"/>
            <w:vAlign w:val="center"/>
          </w:tcPr>
          <w:p>
            <w:pPr>
              <w:widowControl/>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 xml:space="preserve">《中华人民共和国水法》 </w:t>
            </w:r>
          </w:p>
          <w:p>
            <w:pPr>
              <w:widowControl/>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第十二条　县级以上地方人民政府水行政主管部门按照规定的权限，负责本行政区域内水资源的统一管理和监督工作。</w:t>
            </w:r>
          </w:p>
          <w:p>
            <w:pPr>
              <w:widowControl/>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第十九条　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p>
          <w:p>
            <w:pPr>
              <w:widowControl/>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《中华人民共和国防洪法》</w:t>
            </w:r>
          </w:p>
          <w:p>
            <w:pPr>
              <w:widowControl/>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第十七条　在江河、湖泊上建设防洪工程和其他水工程、水电站等，应当符合防洪规划的要求；水库应当按照防洪规划的要求留足防洪库容。</w:t>
            </w:r>
          </w:p>
          <w:p>
            <w:pPr>
              <w:widowControl/>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前款规定的防洪工程和其他水工程、水电站未取得有关水行政主管部门签署的符合防洪规划要求的规划同意书的，建设单位不得开工建设。</w:t>
            </w:r>
          </w:p>
          <w:p>
            <w:pPr>
              <w:widowControl/>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《水工程建设规划同意书制度管理办法（试行）》（水利部令第31号）</w:t>
            </w:r>
          </w:p>
          <w:p>
            <w:pPr>
              <w:widowControl/>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第三条　水利部负责水工程建设规划同意书制度实施的监督管理。</w:t>
            </w:r>
          </w:p>
          <w:p>
            <w:pPr>
              <w:widowControl/>
              <w:ind w:firstLine="420" w:firstLineChars="200"/>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水利部所属流域管理机构（以下简称流域管理机构）和县级以上地方人民政府水行政主管部门按照分级管理权限，具体负责水工程建设规划同意书制度的实施和监督管理。</w:t>
            </w:r>
          </w:p>
          <w:p>
            <w:pPr>
              <w:widowControl/>
              <w:ind w:firstLine="420" w:firstLineChars="200"/>
              <w:rPr>
                <w:rFonts w:ascii="Times New Roman" w:hAnsi="Times New Roman" w:eastAsia="仿宋_GB2312"/>
                <w:color w:val="000000"/>
                <w:kern w:val="0"/>
                <w:szCs w:val="21"/>
              </w:rPr>
            </w:pPr>
            <w:r>
              <w:rPr>
                <w:rFonts w:ascii="Times New Roman" w:hAnsi="Times New Roman" w:eastAsia="仿宋_GB2312"/>
                <w:color w:val="000000"/>
                <w:kern w:val="0"/>
                <w:szCs w:val="21"/>
              </w:rPr>
              <w:t>第十四条　审查签署机关应当对其审查签署水工程建设规划同意书的水工程的建设情况进行监督管理。审查签署机关在进行监督检查时，有权进行实地调查，建设单位应当给予配合，如实提供有关情况和材料。</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47B3368"/>
    <w:rsid w:val="E47B3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2025-07-17T17:42:00Z</dcterms:created>
  <dc:creator>hik</dc:creator>
  <cp:lastModifiedBy>hik</cp:lastModifiedBy>
  <dcterms:modified xsi:type="dcterms:W3CDTF">2025-07-17T17:42:55Z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92C43370A3785E818CC578684FC9224F</vt:lpwstr>
  </property>
</Properties>
</file>