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黑体" w:hAnsi="CESI仿宋-GB2312" w:eastAsia="黑体" w:cs="宋体"/>
          <w:kern w:val="0"/>
          <w:sz w:val="32"/>
          <w:szCs w:val="32"/>
        </w:rPr>
      </w:pPr>
      <w:r>
        <w:rPr>
          <w:rFonts w:hint="eastAsia" w:ascii="黑体" w:hAnsi="CESI仿宋-GB2312" w:eastAsia="黑体" w:cs="宋体"/>
          <w:kern w:val="0"/>
          <w:sz w:val="32"/>
          <w:szCs w:val="32"/>
        </w:rPr>
        <w:t>附件2</w:t>
      </w:r>
    </w:p>
    <w:p>
      <w:pPr>
        <w:pStyle w:val="2"/>
        <w:spacing w:line="580" w:lineRule="exact"/>
        <w:rPr>
          <w:rFonts w:hint="eastAsia"/>
        </w:rPr>
      </w:pPr>
    </w:p>
    <w:tbl>
      <w:tblPr>
        <w:tblStyle w:val="3"/>
        <w:tblW w:w="89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60"/>
        <w:gridCol w:w="1411"/>
        <w:gridCol w:w="1629"/>
        <w:gridCol w:w="1630"/>
        <w:gridCol w:w="1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94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2025年第一批晋江、洛阳江上游水资源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保护补偿专项（水土流失综合治理）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资金绩效目标表</w:t>
            </w:r>
          </w:p>
          <w:p>
            <w:pPr>
              <w:pStyle w:val="2"/>
              <w:spacing w:line="580" w:lineRule="exact"/>
              <w:rPr>
                <w:rFonts w:hint="eastAsia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26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kern w:val="0"/>
                <w:sz w:val="24"/>
              </w:rPr>
              <w:t>生态效益指标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工程验收合格率（%）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水土流失治理项目已建工程是否存在质量问题（是/否）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截至2025年12月底，投资完成比例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完成水土流失综合治理面积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（亩）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项目受益群众满意度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洛江区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南安市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2800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安溪县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2100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永春县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德化县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≥80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≥90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F193C"/>
    <w:rsid w:val="EFA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2025-08-22T16:21:00Z</dcterms:created>
  <dc:creator>hik</dc:creator>
  <cp:lastModifiedBy>hik</cp:lastModifiedBy>
  <dcterms:modified xsi:type="dcterms:W3CDTF">2025-08-22T16:21:43Z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B9B8FFDE01C049818928A8688C03519D</vt:lpwstr>
  </property>
</Properties>
</file>