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pStyle w:val="2"/>
        <w:spacing w:line="580" w:lineRule="exac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3"/>
        <w:tblW w:w="89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50"/>
        <w:gridCol w:w="1350"/>
        <w:gridCol w:w="1080"/>
        <w:gridCol w:w="807"/>
        <w:gridCol w:w="993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CESI仿宋-GB2312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CESI仿宋-GB2312" w:eastAsia="方正小标宋简体" w:cs="宋体"/>
                <w:color w:val="000000"/>
                <w:kern w:val="0"/>
                <w:sz w:val="44"/>
                <w:szCs w:val="44"/>
              </w:rPr>
              <w:t>2025年省级第二批水利专项资金绩效目标表</w:t>
            </w:r>
          </w:p>
          <w:p>
            <w:pPr>
              <w:pStyle w:val="2"/>
              <w:spacing w:line="580" w:lineRule="exact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39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8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  <w:t>取水在线监测设施数据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到报率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pacing w:val="-2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6"/>
                <w:kern w:val="0"/>
                <w:sz w:val="24"/>
              </w:rPr>
              <w:t>水土流失治理项目已建工程重大质量问题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存在率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完成水土流失综合治理面积（平方公里）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万元GDP用水量达标率（%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已建工程是否存在质量问题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山洪灾害防治覆盖人口数量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万人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  <w:t>受益群众满意度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6.67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51.7077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应急备用水源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调配中心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晋江河道堤防运行中心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90%</w:t>
            </w:r>
          </w:p>
        </w:tc>
      </w:tr>
    </w:tbl>
    <w:p>
      <w:pPr>
        <w:pStyle w:val="2"/>
        <w:spacing w:line="580" w:lineRule="exac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pStyle w:val="2"/>
        <w:spacing w:line="500" w:lineRule="exact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5EFF"/>
    <w:rsid w:val="5F5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2025-05-09T08:58:00Z</dcterms:created>
  <dc:creator>hik</dc:creator>
  <cp:lastModifiedBy>hik</cp:lastModifiedBy>
  <dcterms:modified xsi:type="dcterms:W3CDTF">2025-05-09T08:59:11Z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047858417A7D6F9335531D6829E7B4CF</vt:lpwstr>
  </property>
</Properties>
</file>