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00" w:lineRule="exact"/>
        <w:rPr>
          <w:rFonts w:hint="eastAsia"/>
        </w:rPr>
      </w:pPr>
    </w:p>
    <w:tbl>
      <w:tblPr>
        <w:tblStyle w:val="2"/>
        <w:tblW w:w="9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1080"/>
        <w:gridCol w:w="1080"/>
        <w:gridCol w:w="1080"/>
        <w:gridCol w:w="900"/>
        <w:gridCol w:w="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2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ind w:right="128" w:rightChars="61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2025年省级第二批水利专项资金绩效目标表</w:t>
            </w:r>
          </w:p>
          <w:p>
            <w:pPr>
              <w:widowControl/>
              <w:spacing w:line="580" w:lineRule="exact"/>
              <w:jc w:val="center"/>
              <w:rPr>
                <w:rFonts w:ascii="CESI仿宋-GB2312" w:hAnsi="宋体" w:eastAsia="CESI仿宋-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52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省级财政专项资金投入成本控制率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实施小型水库维修养护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（座）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Cs w:val="21"/>
              </w:rPr>
              <w:t>河道专管员人数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（名）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Cs w:val="21"/>
              </w:rPr>
              <w:t>截至2026年6月底工程验收合格率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是否明确河道专管员职责、数量和组织形式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已建工程是否存在质量问题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提升防灾减灾能力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  <w:t>受益群众满意度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鲤城区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丰泽区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洛江区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泉港区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台商区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晋江市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石狮市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南安市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惠安县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安溪县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永春县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德化县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 xml:space="preserve">113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 xml:space="preserve">1007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D698"/>
    <w:rsid w:val="7FAED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2025-05-09T08:53:00Z</dcterms:created>
  <dc:creator>hik</dc:creator>
  <cp:lastModifiedBy>hik</cp:lastModifiedBy>
  <dcterms:modified xsi:type="dcterms:W3CDTF">2025-05-09T08:53:58Z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D40284D093EFA5500A521D68C019CA0E</vt:lpwstr>
  </property>
</Properties>
</file>