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宋体" w:eastAsia="仿宋_GB2312" w:cs="宋体"/>
          <w:b/>
          <w:bCs/>
          <w:kern w:val="36"/>
          <w:sz w:val="32"/>
          <w:szCs w:val="32"/>
        </w:rPr>
      </w:pPr>
      <w:bookmarkStart w:id="0" w:name="_GoBack"/>
      <w:r>
        <w:rPr>
          <w:rFonts w:eastAsia="仿宋_GB2312"/>
          <w:sz w:val="32"/>
          <w:szCs w:val="32"/>
        </w:rPr>
        <w:t>附件</w:t>
      </w:r>
      <w:r>
        <w:rPr>
          <w:rFonts w:hint="eastAsia" w:eastAsia="仿宋_GB2312"/>
          <w:sz w:val="32"/>
          <w:szCs w:val="32"/>
        </w:rPr>
        <w:t>1</w:t>
      </w:r>
    </w:p>
    <w:bookmarkEnd w:id="0"/>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cs="宋体"/>
          <w:bCs/>
          <w:sz w:val="44"/>
          <w:szCs w:val="44"/>
        </w:rPr>
        <w:t>202</w:t>
      </w:r>
      <w:r>
        <w:rPr>
          <w:rFonts w:hint="eastAsia" w:ascii="方正小标宋简体" w:hAnsi="宋体" w:eastAsia="方正小标宋简体" w:cs="宋体"/>
          <w:bCs/>
          <w:sz w:val="44"/>
          <w:szCs w:val="44"/>
          <w:lang w:val="en-US" w:eastAsia="zh-CN"/>
        </w:rPr>
        <w:t>4</w:t>
      </w:r>
      <w:r>
        <w:rPr>
          <w:rFonts w:hint="eastAsia" w:ascii="方正小标宋简体" w:hAnsi="宋体" w:eastAsia="方正小标宋简体" w:cs="宋体"/>
          <w:bCs/>
          <w:sz w:val="44"/>
          <w:szCs w:val="44"/>
        </w:rPr>
        <w:t>年泉州市级涉水建设项目“双随机</w:t>
      </w:r>
      <w:r>
        <w:rPr>
          <w:rFonts w:hint="eastAsia" w:ascii="方正小标宋简体" w:hAnsi="宋体" w:eastAsia="方正小标宋简体" w:cs="宋体"/>
          <w:bCs/>
          <w:sz w:val="44"/>
          <w:szCs w:val="44"/>
          <w:lang w:eastAsia="zh-CN"/>
        </w:rPr>
        <w:t>、</w:t>
      </w:r>
      <w:r>
        <w:rPr>
          <w:rFonts w:hint="eastAsia" w:ascii="方正小标宋简体" w:hAnsi="宋体" w:eastAsia="方正小标宋简体" w:cs="宋体"/>
          <w:bCs/>
          <w:sz w:val="44"/>
          <w:szCs w:val="44"/>
        </w:rPr>
        <w:t>一公开”抽查工作实施方案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根据省政府办公厅、省水利厅、泉州市水利局关于“双随机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一公开”抽查有关规定及实施细则要求，遵循分级管理以及合法、公正、公开和随机的原则，特制定本方案。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一、抽查事项和内容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查事项主要为晋江二、三级河道、市直水利工程及涉河项目涉及交叉县市的开展洪水影响评价类的建设项目，抽查内容及工作要求主要根据《福建省河道保护管理条例》的相关规定，并依据随机抽查事项清单载明的抽查内容及相关要求，采取现场检查、书面检查等方式进行抽查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二、建立抽查项目和检查人员名录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泉州市级洪水影响评价类项目监督检查人员名单由业务科室辅以市直水管单位执法人员随机抽取组成（详见附件2）。重点梳理202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年以来泉州市级已审批的洪水影响评价类涉水建设项目且在建的建设单位，作为202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年度泉州市级抽查名录（详见附3）。</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三、抽查方法和比例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通过随机抽取方式，从202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来泉州市级已审批并在建的洪水影响评价类涉水建设项目中抽取，项目不少于全年项目数的50％，分别于8月份和10月份开展检查工作。于检查前邀请市水利局相关科室负责人随机抽取，每次从检查人员名单中抽取5名检查人员组成检查小组，对抽取的项目进行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四、落实公开制度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泉州市级涉水项目检查及建设单位名录、泉州市市级涉水项目检查人员名单、双随机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一公开抽取的建设项目情况等相关资料信息，及时在泉州市水利信息网公开，接受全社会监督。市水利局将严格按照已公布的随机抽查事项清单及建设项目，依法组织开展监督检查。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五、强化依法检查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人员要严格依照法定程序严格执法，对检查中发现的问题要从严从快处理，该整改的及时责令整改，该处罚的依法处罚。对于检查发现问题整改不到位或不按规定进行整改的市场主体，经催告仍拒不整改的，将予以通报处理，并将违法违规信息纳入水利建设市场信用信息平台，记入诚信档案，以接受社会监督。有关检查情况及时在泉州市水利信息网公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六、严格抽查纪律</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对被抽取的建设项目实施检查时，不得妨碍项目主体正常的生产经营活动，不得索取或收受财物，不得谋取其他利益。对抽查监管工作中失职渎职和违纪的，要依法依纪严肃处理。</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04" w:firstLineChars="1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七、做好资料归档及信息反馈</w:t>
      </w:r>
    </w:p>
    <w:p>
      <w:pPr>
        <w:keepNext w:val="0"/>
        <w:keepLines w:val="0"/>
        <w:pageBreakBefore w:val="0"/>
        <w:kinsoku/>
        <w:wordWrap/>
        <w:overflowPunct/>
        <w:topLinePunct w:val="0"/>
        <w:autoSpaceDE/>
        <w:autoSpaceDN/>
        <w:bidi w:val="0"/>
        <w:adjustRightInd/>
        <w:snapToGrid/>
        <w:spacing w:line="580" w:lineRule="exact"/>
        <w:ind w:firstLine="755" w:firstLineChars="236"/>
        <w:textAlignment w:val="auto"/>
        <w:rPr>
          <w:rFonts w:hint="eastAsia" w:ascii="仿宋_GB2312" w:hAnsi="仿宋_GB2312" w:eastAsia="仿宋_GB2312" w:cs="仿宋_GB2312"/>
          <w:sz w:val="32"/>
          <w:szCs w:val="32"/>
          <w:lang w:eastAsia="zh-CN"/>
        </w:rPr>
        <w:sectPr>
          <w:pgSz w:w="11906" w:h="16838"/>
          <w:pgMar w:top="2155" w:right="1474" w:bottom="1474" w:left="1588" w:header="851" w:footer="992" w:gutter="0"/>
          <w:cols w:space="720" w:num="1"/>
          <w:docGrid w:type="lines" w:linePitch="312" w:charSpace="0"/>
        </w:sectPr>
      </w:pPr>
      <w:r>
        <w:rPr>
          <w:rFonts w:hint="eastAsia" w:ascii="仿宋_GB2312" w:hAnsi="仿宋_GB2312" w:eastAsia="仿宋_GB2312" w:cs="仿宋_GB2312"/>
          <w:sz w:val="32"/>
          <w:szCs w:val="32"/>
        </w:rPr>
        <w:t>检查人员开展抽查工作时，现场检查记录和现场照片等证据资料应当作为执法全过程进行记录备案。检查人员应当在检查结束后及时进行总结，及时做好检查档案归档并妥善保管。检查情况应在抽查后7个工作日内及时录入国家企业信用信息公示系统（福建）。检查材料包括“五个一”，即一份检查通知函、一份涉水项目建设方案特性表、一份参加检查人员签名表、一份检查情况登记表、一份现场检查照片。需要整改的建设项目单位，还应根据现场检查要求，及时做好整改工作，并上报书面反馈整改情况资料供存档备查</w:t>
      </w:r>
      <w:r>
        <w:rPr>
          <w:rFonts w:hint="eastAsia" w:ascii="仿宋_GB2312" w:hAnsi="仿宋_GB2312" w:eastAsia="仿宋_GB2312" w:cs="仿宋_GB2312"/>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AFA01"/>
    <w:rsid w:val="5F6AF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2024-10-28T15:18:00Z</dcterms:created>
  <dc:creator>hik</dc:creator>
  <cp:lastModifiedBy>hik</cp:lastModifiedBy>
  <dcterms:modified xsi:type="dcterms:W3CDTF">2024-10-28T15:18:35Z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36C88AB52EAE041CAD3A1F67252AA161</vt:lpwstr>
  </property>
</Properties>
</file>