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46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开发区生产建设项目水土保持登记表</w:t>
      </w:r>
    </w:p>
    <w:bookmarkEnd w:id="0"/>
    <w:p>
      <w:pPr>
        <w:spacing w:line="460" w:lineRule="exact"/>
        <w:jc w:val="center"/>
        <w:rPr>
          <w:rFonts w:hint="eastAsia" w:eastAsia="黑体"/>
          <w:bCs/>
          <w:sz w:val="32"/>
          <w:szCs w:val="28"/>
        </w:rPr>
      </w:pPr>
    </w:p>
    <w:tbl>
      <w:tblPr>
        <w:tblStyle w:val="2"/>
        <w:tblW w:w="91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689"/>
        <w:gridCol w:w="154"/>
        <w:gridCol w:w="810"/>
        <w:gridCol w:w="18"/>
        <w:gridCol w:w="798"/>
        <w:gridCol w:w="442"/>
        <w:gridCol w:w="1294"/>
        <w:gridCol w:w="1195"/>
        <w:gridCol w:w="506"/>
        <w:gridCol w:w="992"/>
        <w:gridCol w:w="1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项目名称</w:t>
            </w:r>
          </w:p>
        </w:tc>
        <w:tc>
          <w:tcPr>
            <w:tcW w:w="75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XX（开发区名称）XX（生产建设项目名称）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生产建设单位（盖章）</w:t>
            </w:r>
          </w:p>
        </w:tc>
        <w:tc>
          <w:tcPr>
            <w:tcW w:w="33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6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spacing w:val="-6"/>
                <w:kern w:val="10"/>
                <w:sz w:val="24"/>
                <w:szCs w:val="24"/>
              </w:rPr>
              <w:t>开发区管理机构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（盖章）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5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建设地点</w:t>
            </w:r>
          </w:p>
        </w:tc>
        <w:tc>
          <w:tcPr>
            <w:tcW w:w="759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38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项目总投资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（万元）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计划建设起止时间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381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10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spacing w:val="-10"/>
                <w:kern w:val="10"/>
                <w:sz w:val="24"/>
                <w:szCs w:val="24"/>
              </w:rPr>
              <w:t>水土流失防治责任范围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面积（hm</w:t>
            </w:r>
            <w:r>
              <w:rPr>
                <w:rFonts w:eastAsia="仿宋_GB2312"/>
                <w:bCs/>
                <w:kern w:val="10"/>
                <w:sz w:val="24"/>
                <w:szCs w:val="24"/>
                <w:vertAlign w:val="superscript"/>
              </w:rPr>
              <w:t>2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>）</w:t>
            </w: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永久占地面积（hm</w:t>
            </w:r>
            <w:r>
              <w:rPr>
                <w:rFonts w:eastAsia="仿宋_GB2312"/>
                <w:bCs/>
                <w:kern w:val="10"/>
                <w:sz w:val="24"/>
                <w:szCs w:val="24"/>
                <w:vertAlign w:val="superscript"/>
              </w:rPr>
              <w:t>2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>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38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临时占地面积（hm</w:t>
            </w:r>
            <w:r>
              <w:rPr>
                <w:rFonts w:eastAsia="仿宋_GB2312"/>
                <w:bCs/>
                <w:kern w:val="10"/>
                <w:sz w:val="24"/>
                <w:szCs w:val="24"/>
                <w:vertAlign w:val="superscript"/>
              </w:rPr>
              <w:t>2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>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38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总土石方量（万m</w:t>
            </w:r>
            <w:r>
              <w:rPr>
                <w:rFonts w:eastAsia="仿宋_GB2312"/>
                <w:bCs/>
                <w:kern w:val="10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>）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10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spacing w:val="-10"/>
                <w:kern w:val="10"/>
                <w:sz w:val="24"/>
                <w:szCs w:val="24"/>
              </w:rPr>
              <w:t>开挖（万m</w:t>
            </w:r>
            <w:r>
              <w:rPr>
                <w:rFonts w:eastAsia="仿宋_GB2312"/>
                <w:bCs/>
                <w:spacing w:val="-10"/>
                <w:kern w:val="10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spacing w:val="-10"/>
                <w:kern w:val="10"/>
                <w:sz w:val="24"/>
                <w:szCs w:val="24"/>
              </w:rPr>
              <w:t>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填筑（万m</w:t>
            </w:r>
            <w:r>
              <w:rPr>
                <w:rFonts w:eastAsia="仿宋_GB2312"/>
                <w:bCs/>
                <w:kern w:val="10"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>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建设过程中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土石方量</w:t>
            </w: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取土取石量</w:t>
            </w:r>
            <w:r>
              <w:rPr>
                <w:rFonts w:eastAsia="仿宋_GB2312"/>
                <w:bCs/>
                <w:sz w:val="24"/>
                <w:szCs w:val="24"/>
              </w:rPr>
              <w:t>（m</w:t>
            </w:r>
            <w:r>
              <w:rPr>
                <w:rFonts w:eastAsia="仿宋_GB2312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取土取石来源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弃土弃石量</w:t>
            </w:r>
            <w:r>
              <w:rPr>
                <w:rFonts w:eastAsia="仿宋_GB2312"/>
                <w:bCs/>
                <w:sz w:val="24"/>
                <w:szCs w:val="24"/>
              </w:rPr>
              <w:t>（m</w:t>
            </w:r>
            <w:r>
              <w:rPr>
                <w:rFonts w:eastAsia="仿宋_GB2312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弃土弃渣去向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36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表土剥离量</w:t>
            </w:r>
            <w:r>
              <w:rPr>
                <w:rFonts w:eastAsia="仿宋_GB2312"/>
                <w:bCs/>
                <w:sz w:val="24"/>
                <w:szCs w:val="24"/>
              </w:rPr>
              <w:t>（m</w:t>
            </w:r>
            <w:r>
              <w:rPr>
                <w:rFonts w:eastAsia="仿宋_GB2312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表土利用量</w:t>
            </w:r>
            <w:r>
              <w:rPr>
                <w:rFonts w:eastAsia="仿宋_GB2312"/>
                <w:bCs/>
                <w:sz w:val="24"/>
                <w:szCs w:val="24"/>
              </w:rPr>
              <w:t>（m</w:t>
            </w:r>
            <w:r>
              <w:rPr>
                <w:rFonts w:eastAsia="仿宋_GB2312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36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防治标准等级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  <w:highlight w:val="yellow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预测水土流失总量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防治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指标</w:t>
            </w: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水土流失治理度（%）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土壤流失控制比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渣土防护率（%）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表土保护率（%）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林草植被恢复率（%）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林草覆盖率（%）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14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采取的主要水土保持措施</w:t>
            </w:r>
            <w:r>
              <w:rPr>
                <w:rFonts w:eastAsia="仿宋_GB2312"/>
                <w:b/>
                <w:bCs/>
                <w:kern w:val="10"/>
                <w:sz w:val="24"/>
                <w:szCs w:val="24"/>
              </w:rPr>
              <w:t>（根据项目具体情况增减）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kern w:val="10"/>
                <w:sz w:val="24"/>
                <w:szCs w:val="24"/>
              </w:rPr>
              <w:t>工程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kern w:val="10"/>
                <w:sz w:val="24"/>
                <w:szCs w:val="24"/>
              </w:rPr>
              <w:t>措施</w:t>
            </w: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①边坡采用砌石或其它工程措施护坡；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②建设范围建立完善排水系统；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③表土剥离，妥善堆放并防护；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④弃渣场设置拦挡、排水设施并进行土地整治；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⑤取土场土地整治并复垦、设置排水系统；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⑥水体周边护岸；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⑦施工场地进行土地整治；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⑧绿化区域土地平整。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kern w:val="10"/>
                <w:sz w:val="24"/>
                <w:szCs w:val="24"/>
              </w:rPr>
              <w:t>植物措施</w:t>
            </w: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/>
                <w:kern w:val="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</w:rPr>
              <w:t>①边坡植被恢复；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②裸露土地林草植被恢复及园林绿化；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③弃渣场撒播草籽或种植林木恢复植被；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④取土场撒播草籽或种植林木恢复植被；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⑤施工场地恢复林草植被。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kern w:val="10"/>
                <w:sz w:val="24"/>
                <w:szCs w:val="24"/>
              </w:rPr>
              <w:t>临时措施</w:t>
            </w: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①建设范围周边设施工围墙；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②施工过程开挖临时排水沟，设置沉沙池，水流经沉沙池后排入天然沟道或市政管网；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③建设区域出口设置洗车平台，减少对周边道路影响；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10"/>
                <w:sz w:val="24"/>
                <w:szCs w:val="24"/>
              </w:rPr>
            </w:pPr>
          </w:p>
        </w:tc>
        <w:tc>
          <w:tcPr>
            <w:tcW w:w="8438" w:type="dxa"/>
            <w:gridSpan w:val="11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both"/>
              <w:rPr>
                <w:rFonts w:ascii="Times New Roman" w:hAnsi="Times New Roman" w:eastAsia="仿宋_GB2312"/>
                <w:kern w:val="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④临时堆料（土）边坡控制稳定并坡脚拦挡，开挖边坡和堆料边坡临时苫盖。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317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水土保持总投资（万元）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3179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工程措施投资（万元）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植物措施投资（万元）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3179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临时措施投资（万元）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</w:rPr>
              <w:t>独立费用（万元）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3179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水土保持监理费（万元）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水土保持补偿费（万元）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3179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  <w:t>水土保持总投资（万元）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bCs/>
                <w:kern w:val="1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  <w:jc w:val="center"/>
        </w:trPr>
        <w:tc>
          <w:tcPr>
            <w:tcW w:w="914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其他情况说明：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>未设置专用取（弃）土场的应说明取（弃）土石方调运方案及相关手续。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2" w:hRule="atLeast"/>
          <w:jc w:val="center"/>
        </w:trPr>
        <w:tc>
          <w:tcPr>
            <w:tcW w:w="914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eastAsia" w:eastAsia="仿宋_GB2312"/>
                <w:bCs/>
                <w:kern w:val="1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经对所提交的材料进行审查，所报资料齐全，符合备案条件，同意备案。</w:t>
            </w:r>
          </w:p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备案号：</w:t>
            </w:r>
          </w:p>
          <w:p>
            <w:pPr>
              <w:adjustRightInd w:val="0"/>
              <w:snapToGrid w:val="0"/>
              <w:spacing w:line="460" w:lineRule="exact"/>
              <w:ind w:firstLine="480" w:firstLineChars="200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你单位应于开工前缴纳水土保持补偿费       元整。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kern w:val="1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kern w:val="1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460" w:lineRule="exact"/>
              <w:ind w:firstLine="5880" w:firstLineChars="2450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XXX水行政主管部门（盖章）</w:t>
            </w:r>
          </w:p>
          <w:p>
            <w:pPr>
              <w:tabs>
                <w:tab w:val="left" w:pos="7615"/>
              </w:tabs>
              <w:adjustRightInd w:val="0"/>
              <w:snapToGrid w:val="0"/>
              <w:spacing w:line="460" w:lineRule="exact"/>
              <w:ind w:firstLine="6000" w:firstLineChars="2500"/>
              <w:jc w:val="left"/>
              <w:rPr>
                <w:rFonts w:eastAsia="仿宋_GB2312"/>
                <w:bCs/>
                <w:kern w:val="10"/>
                <w:sz w:val="24"/>
                <w:szCs w:val="24"/>
              </w:rPr>
            </w:pPr>
            <w:r>
              <w:rPr>
                <w:rFonts w:eastAsia="仿宋_GB2312"/>
                <w:bCs/>
                <w:kern w:val="1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年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月</w:t>
            </w:r>
            <w:r>
              <w:rPr>
                <w:rFonts w:eastAsia="仿宋_GB2312"/>
                <w:bCs/>
                <w:kern w:val="1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Cs/>
                <w:kern w:val="1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exact"/>
        <w:rPr>
          <w:rFonts w:eastAsia="仿宋_GB2312"/>
          <w:snapToGrid w:val="0"/>
          <w:sz w:val="24"/>
          <w:szCs w:val="18"/>
        </w:rPr>
      </w:pPr>
      <w:r>
        <w:rPr>
          <w:rFonts w:hint="eastAsia" w:eastAsia="仿宋_GB2312"/>
          <w:snapToGrid w:val="0"/>
          <w:sz w:val="24"/>
          <w:szCs w:val="18"/>
        </w:rPr>
        <w:t>附件包括：</w:t>
      </w:r>
    </w:p>
    <w:p>
      <w:pPr>
        <w:adjustRightInd w:val="0"/>
        <w:snapToGrid w:val="0"/>
        <w:spacing w:line="360" w:lineRule="exact"/>
        <w:ind w:firstLine="480" w:firstLineChars="200"/>
        <w:rPr>
          <w:rFonts w:eastAsia="仿宋_GB2312"/>
          <w:snapToGrid w:val="0"/>
          <w:sz w:val="24"/>
          <w:szCs w:val="24"/>
        </w:rPr>
      </w:pPr>
      <w:r>
        <w:rPr>
          <w:rFonts w:eastAsia="仿宋_GB2312"/>
          <w:snapToGrid w:val="0"/>
          <w:sz w:val="24"/>
          <w:szCs w:val="24"/>
        </w:rPr>
        <w:t>1.项目总平面图</w:t>
      </w:r>
      <w:r>
        <w:rPr>
          <w:rFonts w:hint="eastAsia" w:eastAsia="仿宋_GB2312"/>
          <w:snapToGrid w:val="0"/>
          <w:sz w:val="24"/>
          <w:szCs w:val="24"/>
        </w:rPr>
        <w:t>、</w:t>
      </w:r>
      <w:r>
        <w:rPr>
          <w:rFonts w:hAnsi="仿宋_GB2312" w:eastAsia="仿宋_GB2312"/>
          <w:snapToGrid w:val="0"/>
          <w:sz w:val="24"/>
          <w:szCs w:val="24"/>
        </w:rPr>
        <w:t>水土保持措施总体布局图</w:t>
      </w:r>
      <w:r>
        <w:rPr>
          <w:rFonts w:hint="eastAsia" w:hAnsi="仿宋_GB2312" w:eastAsia="仿宋_GB2312"/>
          <w:snapToGrid w:val="0"/>
          <w:sz w:val="24"/>
          <w:szCs w:val="24"/>
        </w:rPr>
        <w:t>、</w:t>
      </w:r>
      <w:r>
        <w:rPr>
          <w:rFonts w:eastAsia="仿宋_GB2312"/>
          <w:snapToGrid w:val="0"/>
          <w:sz w:val="24"/>
          <w:szCs w:val="24"/>
        </w:rPr>
        <w:t>水土流失防治责任范围图</w:t>
      </w:r>
      <w:r>
        <w:rPr>
          <w:rFonts w:hint="eastAsia" w:eastAsia="仿宋_GB2312"/>
          <w:snapToGrid w:val="0"/>
          <w:sz w:val="24"/>
          <w:szCs w:val="24"/>
        </w:rPr>
        <w:t>（</w:t>
      </w:r>
      <w:r>
        <w:rPr>
          <w:rFonts w:eastAsia="仿宋_GB2312"/>
          <w:snapToGrid w:val="0"/>
          <w:sz w:val="24"/>
          <w:szCs w:val="24"/>
        </w:rPr>
        <w:t>即项目用地红线图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eastAsia="仿宋_GB2312"/>
          <w:snapToGrid w:val="0"/>
          <w:sz w:val="24"/>
          <w:szCs w:val="24"/>
        </w:rPr>
        <w:t>带有国家2000大地坐标系拐点坐标和矢量化数据）。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hAnsi="仿宋_GB2312" w:eastAsia="仿宋_GB2312"/>
          <w:snapToGrid w:val="0"/>
          <w:sz w:val="24"/>
          <w:szCs w:val="24"/>
        </w:rPr>
      </w:pPr>
      <w:r>
        <w:rPr>
          <w:rFonts w:hAnsi="仿宋_GB2312" w:eastAsia="仿宋_GB2312"/>
          <w:snapToGrid w:val="0"/>
          <w:sz w:val="24"/>
          <w:szCs w:val="24"/>
        </w:rPr>
        <w:t>备注：以上图件单独形成</w:t>
      </w:r>
      <w:r>
        <w:rPr>
          <w:rFonts w:eastAsia="仿宋_GB2312"/>
          <w:snapToGrid w:val="0"/>
          <w:sz w:val="24"/>
          <w:szCs w:val="24"/>
        </w:rPr>
        <w:t>PDF</w:t>
      </w:r>
      <w:r>
        <w:rPr>
          <w:rFonts w:hAnsi="仿宋_GB2312" w:eastAsia="仿宋_GB2312"/>
          <w:snapToGrid w:val="0"/>
          <w:sz w:val="24"/>
          <w:szCs w:val="24"/>
        </w:rPr>
        <w:t>文件或图片，大小不超过</w:t>
      </w:r>
      <w:r>
        <w:rPr>
          <w:rFonts w:eastAsia="仿宋_GB2312"/>
          <w:snapToGrid w:val="0"/>
          <w:sz w:val="24"/>
          <w:szCs w:val="24"/>
        </w:rPr>
        <w:t>20M</w:t>
      </w:r>
      <w:r>
        <w:rPr>
          <w:rFonts w:hAnsi="仿宋_GB2312" w:eastAsia="仿宋_GB2312"/>
          <w:snapToGrid w:val="0"/>
          <w:sz w:val="24"/>
          <w:szCs w:val="24"/>
        </w:rPr>
        <w:t>，以上图件及矢量化数据请一并报送</w:t>
      </w:r>
      <w:r>
        <w:rPr>
          <w:rFonts w:hint="eastAsia" w:hAnsi="仿宋_GB2312" w:eastAsia="仿宋_GB2312"/>
          <w:snapToGrid w:val="0"/>
          <w:sz w:val="24"/>
          <w:szCs w:val="24"/>
        </w:rPr>
        <w:t>备案的水行政主管部门</w:t>
      </w:r>
      <w:r>
        <w:rPr>
          <w:rFonts w:hAnsi="仿宋_GB2312" w:eastAsia="仿宋_GB2312"/>
          <w:snapToGrid w:val="0"/>
          <w:sz w:val="24"/>
          <w:szCs w:val="24"/>
        </w:rPr>
        <w:t>。</w:t>
      </w:r>
    </w:p>
    <w:p>
      <w:pPr>
        <w:adjustRightInd w:val="0"/>
        <w:snapToGrid w:val="0"/>
        <w:spacing w:line="360" w:lineRule="exact"/>
        <w:rPr>
          <w:rFonts w:hint="eastAsia" w:hAnsi="仿宋_GB2312" w:eastAsia="仿宋_GB2312"/>
          <w:snapToGrid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00C47963"/>
    <w:rsid w:val="00C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  <w:jc w:val="left"/>
    </w:pPr>
    <w:rPr>
      <w:rFonts w:ascii="Calibri" w:hAnsi="Calibri" w:eastAsia="Calibri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2023-09-19T07:08:00Z</dcterms:created>
  <dc:creator>杨明坤</dc:creator>
  <cp:lastModifiedBy>杨明坤</cp:lastModifiedBy>
  <dcterms:modified xsi:type="dcterms:W3CDTF">2023-09-19T07:08:57Z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E643AFCC0FDC4ECCB8F0A00598B99B52_11</vt:lpwstr>
  </property>
</Properties>
</file>