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spacing w:line="400" w:lineRule="exact"/>
        <w:rPr>
          <w:rFonts w:hint="eastAsia"/>
        </w:rPr>
      </w:pPr>
    </w:p>
    <w:tbl>
      <w:tblPr>
        <w:tblStyle w:val="2"/>
        <w:tblW w:w="89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440"/>
        <w:gridCol w:w="1260"/>
        <w:gridCol w:w="900"/>
        <w:gridCol w:w="1080"/>
        <w:gridCol w:w="1080"/>
        <w:gridCol w:w="108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49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2023年省级第四批水利专项资金绩效目标表</w:t>
            </w:r>
          </w:p>
          <w:bookmarkEnd w:id="0"/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7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30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产出目标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指标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满意度指标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数量目标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目标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服务对满意度指标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水土流失综合治理项目补助标准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（万元/平方公里）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专管员人数（人）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2"/>
                <w:szCs w:val="22"/>
              </w:rPr>
              <w:t>实施公益性水利设施维护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4"/>
                <w:kern w:val="0"/>
                <w:sz w:val="22"/>
                <w:szCs w:val="22"/>
              </w:rPr>
              <w:t>水土流失治理项目已建工程重大质量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问题存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-18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在率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完成水土流失综合治理面积（平方公里）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受益群众满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市水利局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山美水库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龙门滩水库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石壁水库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金鸡拦河闸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鲤城区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丰泽区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洛江区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泉港区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台商区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晋江市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0.833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0.833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0.833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0.833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0.833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1.666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47587582"/>
    <w:rsid w:val="475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2023-09-20T02:32:00Z</dcterms:created>
  <dc:creator>杨明坤</dc:creator>
  <cp:lastModifiedBy>杨明坤</cp:lastModifiedBy>
  <dcterms:modified xsi:type="dcterms:W3CDTF">2023-09-20T02:32:09Z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ED71FFCC6B4A4FA58D809604277E954F_11</vt:lpwstr>
  </property>
</Properties>
</file>