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2024年度第一批安全生产星级单位公示名单</w:t>
      </w:r>
    </w:p>
    <w:bookmarkEnd w:id="0"/>
    <w:tbl>
      <w:tblPr>
        <w:tblStyle w:val="3"/>
        <w:tblW w:w="7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89"/>
        <w:gridCol w:w="194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序号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单位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达标情况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评定星级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1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"https://slj.quanzhou.gov.cn/zwgk/slgk/zzjg/zsdwmc/201904/t20190426_1940260.htm" \o "泉州市山美水库水资源调配中心"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泉州市山美水库水资源调配中心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国标一级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2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"https://slj.quanzhou.gov.cn/zwgk/slgk/zzjg/zsdwmc/201904/t20190426_1940259.htm" \o "泉州市龙门滩水资源调配中心"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泉州市龙门滩水资源调配中心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国标一级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五星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3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"https://slj.quanzhou.gov.cn/zwgk/slgk/zzjg/zsdwmc/201904/t20190426_1940257.htm" \o "泉州市北渠水资源调配中心"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泉州市北渠水资源调配中心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国标二级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4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"https://slj.quanzhou.gov.cn/zwgk/slgk/zzjg/zsdwmc/201904/t20190426_1940256.htm" \o "泉州市石壁水库水资源调配中心"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泉州市石壁水库水资源调配中心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国标二级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5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"https://slj.quanzhou.gov.cn/zwgk/slgk/zzjg/zsdwmc/201904/t20190426_1940255.htm" \o "泉州市金鸡拦河闸水资源调配中心"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泉州市金鸡拦河闸水资源调配中心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国标二级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6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"https://slj.quanzhou.gov.cn/zwgk/slgk/zzjg/zsdwmc/202004/t20200401_2198611.htm" \o "泉州市晋江河道堤防运行中心"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泉州市晋江河道堤防运行中心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国标二级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7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"https://slj.quanzhou.gov.cn/zwgk/slgk/zzjg/zsdwmc/202004/t20200401_2198617.htm" \o "泉州市区应急备用水源调配中心"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泉州市区应急备用水源调配中心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国标二级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8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"https://slj.quanzhou.gov.cn/zwgk/slgk/zzjg/zsdwmc/201904/t20190426_1940249.htm" \o "泉州市彭村水库水资源调配中心"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泉州市彭村水库水资源调配中心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国标二级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四星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9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instrText xml:space="preserve"> HYPERLINK "https://slj.quanzhou.gov.cn/zwgk/slgk/zzjg/zsdwmc/202004/t20200401_2198614.htm" \o "泉州市山美灌区水资源调配中心" \t "/home/casic/Documents\\x/_blank"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u w:val="none"/>
                <w:shd w:val="clear" w:fill="FFFFFF"/>
              </w:rPr>
              <w:t>泉州市山美灌区水资源调配中心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shd w:val="clear" w:fill="FFFFFF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国标二级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vertAlign w:val="baseline"/>
                <w:lang w:bidi="ar"/>
              </w:rPr>
              <w:t>四星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DAC7"/>
    <w:rsid w:val="FEF7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2024-07-04T10:26:00Z</dcterms:created>
  <dc:creator>李晓丽</dc:creator>
  <cp:lastModifiedBy>李晓丽</cp:lastModifiedBy>
  <dcterms:modified xsi:type="dcterms:W3CDTF">2024-07-04T10:26:52Z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CD9290DD5FA993FB5B0886664DE86BCD</vt:lpwstr>
  </property>
</Properties>
</file>